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4B1157" w14:textId="7EE2666C" w:rsidR="000F1C93" w:rsidRDefault="000F1C93" w:rsidP="00FE6F5A">
      <w:pPr>
        <w:spacing w:after="0" w:line="240" w:lineRule="auto"/>
        <w:jc w:val="center"/>
        <w:rPr>
          <w:rFonts w:ascii="Georgia" w:hAnsi="Georgia" w:cs="Times New Roman"/>
          <w:sz w:val="21"/>
          <w:szCs w:val="21"/>
        </w:rPr>
      </w:pPr>
      <w:r w:rsidRPr="00290CFC">
        <w:rPr>
          <w:rFonts w:ascii="Georgia" w:hAnsi="Georgia" w:cs="Times New Roman"/>
          <w:b/>
          <w:sz w:val="28"/>
          <w:szCs w:val="28"/>
        </w:rPr>
        <w:t xml:space="preserve">Effect </w:t>
      </w:r>
      <w:r>
        <w:rPr>
          <w:rFonts w:ascii="Georgia" w:hAnsi="Georgia" w:cs="Times New Roman"/>
          <w:b/>
          <w:sz w:val="28"/>
          <w:szCs w:val="28"/>
          <w:lang w:val="id-ID"/>
        </w:rPr>
        <w:t>o</w:t>
      </w:r>
      <w:r w:rsidRPr="00290CFC">
        <w:rPr>
          <w:rFonts w:ascii="Georgia" w:hAnsi="Georgia" w:cs="Times New Roman"/>
          <w:b/>
          <w:sz w:val="28"/>
          <w:szCs w:val="28"/>
        </w:rPr>
        <w:t xml:space="preserve">f </w:t>
      </w:r>
      <w:r>
        <w:rPr>
          <w:rFonts w:ascii="Georgia" w:hAnsi="Georgia" w:cs="Times New Roman"/>
          <w:b/>
          <w:sz w:val="28"/>
          <w:szCs w:val="28"/>
          <w:lang w:val="id-ID"/>
        </w:rPr>
        <w:t xml:space="preserve"> </w:t>
      </w:r>
      <w:r w:rsidRPr="00290CFC">
        <w:rPr>
          <w:rFonts w:ascii="Georgia" w:hAnsi="Georgia" w:cs="Times New Roman"/>
          <w:b/>
          <w:sz w:val="28"/>
          <w:szCs w:val="28"/>
        </w:rPr>
        <w:t xml:space="preserve">VCO Administration </w:t>
      </w:r>
      <w:r>
        <w:rPr>
          <w:rFonts w:ascii="Georgia" w:hAnsi="Georgia" w:cs="Times New Roman"/>
          <w:b/>
          <w:sz w:val="28"/>
          <w:szCs w:val="28"/>
          <w:lang w:val="id-ID"/>
        </w:rPr>
        <w:t>o</w:t>
      </w:r>
      <w:r w:rsidRPr="00290CFC">
        <w:rPr>
          <w:rFonts w:ascii="Georgia" w:hAnsi="Georgia" w:cs="Times New Roman"/>
          <w:b/>
          <w:sz w:val="28"/>
          <w:szCs w:val="28"/>
        </w:rPr>
        <w:t xml:space="preserve">n Increased HDL Cholesterol Levels, Decreased LDL Levels, And IL-6 </w:t>
      </w:r>
      <w:r>
        <w:rPr>
          <w:rFonts w:ascii="Georgia" w:hAnsi="Georgia" w:cs="Times New Roman"/>
          <w:b/>
          <w:sz w:val="28"/>
          <w:szCs w:val="28"/>
          <w:lang w:val="id-ID"/>
        </w:rPr>
        <w:t>i</w:t>
      </w:r>
      <w:r w:rsidRPr="00290CFC">
        <w:rPr>
          <w:rFonts w:ascii="Georgia" w:hAnsi="Georgia" w:cs="Times New Roman"/>
          <w:b/>
          <w:sz w:val="28"/>
          <w:szCs w:val="28"/>
        </w:rPr>
        <w:t>n Male Wistar Rats With Hypercholesterol</w:t>
      </w:r>
    </w:p>
    <w:p w14:paraId="4E804168" w14:textId="77777777" w:rsidR="00FE6F5A" w:rsidRPr="00FE6F5A" w:rsidRDefault="00FE6F5A" w:rsidP="00FE6F5A">
      <w:pPr>
        <w:spacing w:after="0" w:line="240" w:lineRule="auto"/>
        <w:jc w:val="center"/>
        <w:rPr>
          <w:rFonts w:ascii="Georgia" w:hAnsi="Georgia" w:cs="Times New Roman"/>
          <w:sz w:val="21"/>
          <w:szCs w:val="21"/>
        </w:rPr>
      </w:pPr>
    </w:p>
    <w:p w14:paraId="6A83F026" w14:textId="7C32A85B" w:rsidR="00194A7A" w:rsidRPr="00194A7A" w:rsidRDefault="00194A7A" w:rsidP="00FE6F5A">
      <w:pPr>
        <w:spacing w:after="0" w:line="240" w:lineRule="auto"/>
        <w:rPr>
          <w:rFonts w:ascii="Georgia" w:hAnsi="Georgia"/>
          <w:lang w:val="id-ID"/>
        </w:rPr>
      </w:pPr>
      <w:r>
        <w:rPr>
          <w:rFonts w:ascii="Georgia" w:hAnsi="Georgia"/>
        </w:rPr>
        <w:tab/>
      </w:r>
      <w:r>
        <w:rPr>
          <w:rFonts w:ascii="Georgia" w:hAnsi="Georgia"/>
        </w:rPr>
        <w:tab/>
      </w:r>
      <w:r>
        <w:rPr>
          <w:rFonts w:ascii="Georgia" w:hAnsi="Georgia"/>
        </w:rPr>
        <w:tab/>
      </w:r>
      <w:r>
        <w:rPr>
          <w:rFonts w:ascii="Georgia" w:hAnsi="Georgia"/>
          <w:lang w:val="id-ID"/>
        </w:rPr>
        <w:t>Meli Maulidia, Joko Wahyu Wibowo, Titiek Sumarawati</w:t>
      </w:r>
    </w:p>
    <w:p w14:paraId="16198615" w14:textId="6C399111" w:rsidR="00194A7A" w:rsidRPr="00194A7A" w:rsidRDefault="00194A7A" w:rsidP="00FE6F5A">
      <w:pPr>
        <w:spacing w:after="0" w:line="240" w:lineRule="auto"/>
        <w:jc w:val="center"/>
        <w:rPr>
          <w:rFonts w:ascii="Georgia" w:hAnsi="Georgia"/>
          <w:lang w:val="id-ID"/>
        </w:rPr>
      </w:pPr>
      <w:r>
        <w:rPr>
          <w:rFonts w:ascii="Georgia" w:hAnsi="Georgia"/>
          <w:lang w:val="id-ID"/>
        </w:rPr>
        <w:t>Fakultas Kedokteran Program Studi Ilmu Biomedik</w:t>
      </w:r>
    </w:p>
    <w:p w14:paraId="259062C5" w14:textId="7053C8A0" w:rsidR="000F1C93" w:rsidRPr="00194A7A" w:rsidRDefault="00194A7A" w:rsidP="00FE6F5A">
      <w:pPr>
        <w:spacing w:after="0" w:line="240" w:lineRule="auto"/>
        <w:jc w:val="center"/>
        <w:rPr>
          <w:rFonts w:ascii="Georgia" w:hAnsi="Georgia"/>
          <w:lang w:val="id-ID"/>
        </w:rPr>
      </w:pPr>
      <w:r>
        <w:rPr>
          <w:rFonts w:ascii="Georgia" w:hAnsi="Georgia"/>
          <w:lang w:val="id-ID"/>
        </w:rPr>
        <w:t>Universitas Islam Sultan Agung Semarang</w:t>
      </w:r>
    </w:p>
    <w:p w14:paraId="7132A88A" w14:textId="1F863422" w:rsidR="00D312B9" w:rsidRPr="00D312B9" w:rsidRDefault="00D312B9" w:rsidP="00FE6F5A">
      <w:pPr>
        <w:pStyle w:val="NoSpacing"/>
        <w:jc w:val="center"/>
        <w:rPr>
          <w:rFonts w:ascii="Georgia" w:hAnsi="Georgia"/>
          <w:b/>
          <w:bCs/>
          <w:sz w:val="20"/>
          <w:szCs w:val="20"/>
        </w:rPr>
      </w:pPr>
      <w:r w:rsidRPr="00D312B9">
        <w:rPr>
          <w:rFonts w:ascii="Georgia" w:hAnsi="Georgia"/>
          <w:b/>
          <w:bCs/>
          <w:sz w:val="20"/>
          <w:szCs w:val="20"/>
          <w:lang w:val="en"/>
        </w:rPr>
        <w:t>Abstract</w:t>
      </w:r>
    </w:p>
    <w:p w14:paraId="3F78A0D5" w14:textId="77777777" w:rsidR="00D312B9" w:rsidRPr="00D312B9" w:rsidRDefault="00D312B9" w:rsidP="00FE6F5A">
      <w:pPr>
        <w:pStyle w:val="NoSpacing"/>
        <w:jc w:val="center"/>
        <w:rPr>
          <w:rFonts w:ascii="Georgia" w:hAnsi="Georgia"/>
          <w:sz w:val="20"/>
          <w:szCs w:val="20"/>
        </w:rPr>
      </w:pPr>
    </w:p>
    <w:p w14:paraId="7C528222" w14:textId="0E74960F" w:rsidR="00D312B9" w:rsidRPr="001B2D64" w:rsidRDefault="00D312B9" w:rsidP="00FE6F5A">
      <w:pPr>
        <w:pStyle w:val="NoSpacing"/>
        <w:jc w:val="both"/>
        <w:rPr>
          <w:rFonts w:ascii="Georgia" w:hAnsi="Georgia"/>
          <w:sz w:val="20"/>
          <w:szCs w:val="20"/>
          <w:lang w:val="en"/>
        </w:rPr>
      </w:pPr>
      <w:r w:rsidRPr="00D312B9">
        <w:rPr>
          <w:rFonts w:ascii="Georgia" w:hAnsi="Georgia"/>
          <w:b/>
          <w:bCs/>
          <w:sz w:val="20"/>
          <w:szCs w:val="20"/>
          <w:lang w:val="en"/>
        </w:rPr>
        <w:t>Background</w:t>
      </w:r>
      <w:r w:rsidRPr="00D312B9">
        <w:rPr>
          <w:rFonts w:ascii="Georgia" w:hAnsi="Georgia"/>
          <w:sz w:val="20"/>
          <w:szCs w:val="20"/>
          <w:lang w:val="en"/>
        </w:rPr>
        <w:t>: Hyperchole</w:t>
      </w:r>
      <w:r w:rsidR="00FE6F5A">
        <w:rPr>
          <w:rFonts w:ascii="Georgia" w:hAnsi="Georgia"/>
          <w:sz w:val="20"/>
          <w:szCs w:val="20"/>
          <w:lang w:val="en"/>
        </w:rPr>
        <w:t>st</w:t>
      </w:r>
      <w:r w:rsidRPr="00D312B9">
        <w:rPr>
          <w:rFonts w:ascii="Georgia" w:hAnsi="Georgia"/>
          <w:sz w:val="20"/>
          <w:szCs w:val="20"/>
          <w:lang w:val="en"/>
        </w:rPr>
        <w:t>erol is a change in blood lipid profile levels, from rising cholesterol levels that can be triggered by frequent consumption of fatty foods. Hypercholeerol causes adipose tissue and macrophages to release inflammatory cytokines, then adipose cells release IL-6 and spur the formation of CRP.</w:t>
      </w:r>
    </w:p>
    <w:p w14:paraId="225AC21D" w14:textId="29AD69CF" w:rsidR="00D312B9" w:rsidRPr="001B2D64" w:rsidRDefault="00D312B9" w:rsidP="00FE6F5A">
      <w:pPr>
        <w:pStyle w:val="NoSpacing"/>
        <w:jc w:val="both"/>
        <w:rPr>
          <w:rFonts w:ascii="Georgia" w:hAnsi="Georgia"/>
          <w:color w:val="000000"/>
          <w:sz w:val="20"/>
          <w:szCs w:val="20"/>
          <w:lang w:val="en"/>
        </w:rPr>
      </w:pPr>
      <w:r w:rsidRPr="00D312B9">
        <w:rPr>
          <w:rFonts w:ascii="Georgia" w:hAnsi="Georgia"/>
          <w:iCs/>
          <w:sz w:val="20"/>
          <w:szCs w:val="20"/>
          <w:lang w:val="id-ID"/>
        </w:rPr>
        <w:t>Objective</w:t>
      </w:r>
      <w:r w:rsidRPr="00D312B9">
        <w:rPr>
          <w:rFonts w:ascii="Georgia" w:hAnsi="Georgia"/>
          <w:iCs/>
          <w:sz w:val="20"/>
          <w:szCs w:val="20"/>
          <w:lang w:val="en"/>
        </w:rPr>
        <w:t xml:space="preserve">: </w:t>
      </w:r>
      <w:r w:rsidRPr="00D312B9">
        <w:rPr>
          <w:rFonts w:ascii="Georgia" w:hAnsi="Georgia"/>
          <w:sz w:val="20"/>
          <w:szCs w:val="20"/>
          <w:lang w:val="en"/>
        </w:rPr>
        <w:t xml:space="preserve"> </w:t>
      </w:r>
      <w:r w:rsidRPr="00D312B9">
        <w:rPr>
          <w:rFonts w:ascii="Georgia" w:hAnsi="Georgia"/>
          <w:color w:val="000000"/>
          <w:sz w:val="20"/>
          <w:szCs w:val="20"/>
          <w:lang w:val="en"/>
        </w:rPr>
        <w:t xml:space="preserve">To determine the effect of virgin </w:t>
      </w:r>
      <w:r w:rsidRPr="00D312B9">
        <w:rPr>
          <w:rFonts w:ascii="Georgia" w:hAnsi="Georgia"/>
          <w:i/>
          <w:color w:val="000000"/>
          <w:sz w:val="20"/>
          <w:szCs w:val="20"/>
          <w:lang w:val="en"/>
        </w:rPr>
        <w:t xml:space="preserve">coconut oil </w:t>
      </w:r>
      <w:r w:rsidRPr="00D312B9">
        <w:rPr>
          <w:rFonts w:ascii="Georgia" w:hAnsi="Georgia"/>
          <w:color w:val="000000"/>
          <w:sz w:val="20"/>
          <w:szCs w:val="20"/>
          <w:lang w:val="en"/>
        </w:rPr>
        <w:t>(VCO) on changes in HDL, LDL, and IL-6 levels in hypercholeleerol mice.</w:t>
      </w:r>
    </w:p>
    <w:p w14:paraId="34BEA202" w14:textId="3E8B8C16" w:rsidR="00D312B9" w:rsidRPr="001B2D64" w:rsidRDefault="00D312B9" w:rsidP="00FE6F5A">
      <w:pPr>
        <w:pStyle w:val="NoSpacing"/>
        <w:jc w:val="both"/>
        <w:rPr>
          <w:rFonts w:ascii="Georgia" w:hAnsi="Georgia"/>
          <w:sz w:val="20"/>
          <w:szCs w:val="20"/>
          <w:lang w:val="en"/>
        </w:rPr>
      </w:pPr>
      <w:r w:rsidRPr="00D312B9">
        <w:rPr>
          <w:rFonts w:ascii="Georgia" w:hAnsi="Georgia"/>
          <w:b/>
          <w:sz w:val="20"/>
          <w:szCs w:val="20"/>
          <w:lang w:val="en"/>
        </w:rPr>
        <w:t>Method:</w:t>
      </w:r>
      <w:r w:rsidRPr="00D312B9">
        <w:rPr>
          <w:rFonts w:ascii="Georgia" w:hAnsi="Georgia"/>
          <w:bCs/>
          <w:sz w:val="20"/>
          <w:szCs w:val="20"/>
          <w:lang w:val="en"/>
        </w:rPr>
        <w:t xml:space="preserve"> </w:t>
      </w:r>
      <w:r w:rsidRPr="00D312B9">
        <w:rPr>
          <w:rFonts w:ascii="Georgia" w:hAnsi="Georgia"/>
          <w:sz w:val="20"/>
          <w:szCs w:val="20"/>
          <w:lang w:val="en"/>
        </w:rPr>
        <w:t xml:space="preserve"> Research uses </w:t>
      </w:r>
      <w:r w:rsidRPr="00D312B9">
        <w:rPr>
          <w:rFonts w:ascii="Georgia" w:hAnsi="Georgia"/>
          <w:i/>
          <w:sz w:val="20"/>
          <w:szCs w:val="20"/>
          <w:lang w:val="en"/>
        </w:rPr>
        <w:t xml:space="preserve">True experimental design </w:t>
      </w:r>
      <w:r w:rsidRPr="00D312B9">
        <w:rPr>
          <w:rFonts w:ascii="Georgia" w:hAnsi="Georgia"/>
          <w:sz w:val="20"/>
          <w:szCs w:val="20"/>
          <w:lang w:val="en"/>
        </w:rPr>
        <w:t xml:space="preserve">with Post Test Only Control Group Design research design.   The study subjects numbered 24 male wistar strain rats  </w:t>
      </w:r>
      <w:r w:rsidRPr="00D312B9">
        <w:rPr>
          <w:rFonts w:ascii="Georgia" w:hAnsi="Georgia"/>
          <w:i/>
          <w:iCs/>
          <w:sz w:val="20"/>
          <w:szCs w:val="20"/>
          <w:lang w:val="en"/>
        </w:rPr>
        <w:t xml:space="preserve"> </w:t>
      </w:r>
      <w:r w:rsidRPr="00D312B9">
        <w:rPr>
          <w:rFonts w:ascii="Georgia" w:hAnsi="Georgia"/>
          <w:sz w:val="20"/>
          <w:szCs w:val="20"/>
          <w:lang w:val="en"/>
        </w:rPr>
        <w:t>that were randomly divided into 4 groups, namely K0, K1, P1 and P2. The K0 group was fed standard without being given a high-cholesterol diet and K1 was fed standard with a high-cholesterol diet. P1 and P2 are given VCO at doses of 0.9 mL/200 g BB/ day and 0.45 mL/200 g BB/ day</w:t>
      </w:r>
      <w:r w:rsidRPr="00D312B9">
        <w:rPr>
          <w:rFonts w:ascii="Georgia" w:hAnsi="Georgia"/>
          <w:sz w:val="20"/>
          <w:szCs w:val="20"/>
          <w:lang w:val="id-ID"/>
        </w:rPr>
        <w:t>,</w:t>
      </w:r>
      <w:r w:rsidRPr="00D312B9">
        <w:rPr>
          <w:rFonts w:ascii="Georgia" w:hAnsi="Georgia"/>
          <w:sz w:val="20"/>
          <w:szCs w:val="20"/>
          <w:lang w:val="en"/>
        </w:rPr>
        <w:t xml:space="preserve"> on the 22nd day blood intake is carried out for examination of LDL, HDL, and IL-6 levels. The data in the analysis used a normality test with the Shapiro Wilk test and a data homogeneity test with the Levane test.</w:t>
      </w:r>
    </w:p>
    <w:p w14:paraId="64E64E1A" w14:textId="0A89F120" w:rsidR="00D312B9" w:rsidRPr="001B2D64" w:rsidRDefault="00D312B9" w:rsidP="00FE6F5A">
      <w:pPr>
        <w:pStyle w:val="NoSpacing"/>
        <w:jc w:val="both"/>
        <w:rPr>
          <w:rFonts w:ascii="Georgia" w:hAnsi="Georgia"/>
          <w:bCs/>
          <w:sz w:val="20"/>
          <w:szCs w:val="20"/>
          <w:lang w:val="en"/>
        </w:rPr>
      </w:pPr>
      <w:r w:rsidRPr="00D312B9">
        <w:rPr>
          <w:rFonts w:ascii="Georgia" w:hAnsi="Georgia"/>
          <w:b/>
          <w:sz w:val="20"/>
          <w:szCs w:val="20"/>
          <w:lang w:val="en"/>
        </w:rPr>
        <w:t xml:space="preserve">Results: Average </w:t>
      </w:r>
      <w:r w:rsidRPr="00D312B9">
        <w:rPr>
          <w:rFonts w:ascii="Georgia" w:hAnsi="Georgia"/>
          <w:sz w:val="20"/>
          <w:szCs w:val="20"/>
          <w:lang w:val="en"/>
        </w:rPr>
        <w:t xml:space="preserve">LDL and HDL   </w:t>
      </w:r>
      <w:r w:rsidRPr="00D312B9">
        <w:rPr>
          <w:rFonts w:ascii="Georgia" w:hAnsi="Georgia"/>
          <w:bCs/>
          <w:sz w:val="20"/>
          <w:szCs w:val="20"/>
          <w:lang w:val="en"/>
        </w:rPr>
        <w:t>levels are highest</w:t>
      </w:r>
      <w:r w:rsidRPr="00D312B9">
        <w:rPr>
          <w:rFonts w:ascii="Georgia" w:hAnsi="Georgia"/>
          <w:sz w:val="20"/>
          <w:szCs w:val="20"/>
          <w:lang w:val="en"/>
        </w:rPr>
        <w:t xml:space="preserve"> in</w:t>
      </w:r>
      <w:r w:rsidRPr="00D312B9">
        <w:rPr>
          <w:rFonts w:ascii="Georgia" w:hAnsi="Georgia"/>
          <w:bCs/>
          <w:sz w:val="20"/>
          <w:szCs w:val="20"/>
          <w:lang w:val="en"/>
        </w:rPr>
        <w:t xml:space="preserve"> the P1</w:t>
      </w:r>
      <w:r w:rsidRPr="00D312B9">
        <w:rPr>
          <w:rFonts w:ascii="Georgia" w:hAnsi="Georgia"/>
          <w:sz w:val="20"/>
          <w:szCs w:val="20"/>
          <w:lang w:val="en"/>
        </w:rPr>
        <w:t xml:space="preserve"> group compared to </w:t>
      </w:r>
      <w:r w:rsidRPr="00D312B9">
        <w:rPr>
          <w:rFonts w:ascii="Georgia" w:hAnsi="Georgia"/>
          <w:bCs/>
          <w:sz w:val="20"/>
          <w:szCs w:val="20"/>
          <w:lang w:val="en"/>
        </w:rPr>
        <w:t xml:space="preserve">the P2, K0, and K1 groups. </w:t>
      </w:r>
      <w:r w:rsidRPr="00D312B9">
        <w:rPr>
          <w:rFonts w:ascii="Georgia" w:hAnsi="Georgia"/>
          <w:sz w:val="20"/>
          <w:szCs w:val="20"/>
          <w:lang w:val="en"/>
        </w:rPr>
        <w:t xml:space="preserve"> The </w:t>
      </w:r>
      <w:r w:rsidRPr="00D312B9">
        <w:rPr>
          <w:rFonts w:ascii="Georgia" w:hAnsi="Georgia"/>
          <w:i/>
          <w:iCs/>
          <w:sz w:val="20"/>
          <w:szCs w:val="20"/>
          <w:lang w:val="en"/>
        </w:rPr>
        <w:t>One Way Anova</w:t>
      </w:r>
      <w:r w:rsidRPr="00D312B9">
        <w:rPr>
          <w:rFonts w:ascii="Georgia" w:hAnsi="Georgia"/>
          <w:sz w:val="20"/>
          <w:szCs w:val="20"/>
          <w:lang w:val="en"/>
        </w:rPr>
        <w:t xml:space="preserve"> test</w:t>
      </w:r>
      <w:r w:rsidRPr="00D312B9">
        <w:rPr>
          <w:rFonts w:ascii="Georgia" w:hAnsi="Georgia"/>
          <w:bCs/>
          <w:sz w:val="20"/>
          <w:szCs w:val="20"/>
          <w:lang w:val="en"/>
        </w:rPr>
        <w:t xml:space="preserve"> on</w:t>
      </w:r>
      <w:r w:rsidRPr="00D312B9">
        <w:rPr>
          <w:rFonts w:ascii="Georgia" w:hAnsi="Georgia"/>
          <w:sz w:val="20"/>
          <w:szCs w:val="20"/>
          <w:lang w:val="en"/>
        </w:rPr>
        <w:t xml:space="preserve"> </w:t>
      </w:r>
      <w:r w:rsidRPr="00D312B9">
        <w:rPr>
          <w:rFonts w:ascii="Georgia" w:hAnsi="Georgia"/>
          <w:bCs/>
          <w:sz w:val="20"/>
          <w:szCs w:val="20"/>
          <w:lang w:val="en"/>
        </w:rPr>
        <w:t>HDL</w:t>
      </w:r>
      <w:r w:rsidRPr="00D312B9">
        <w:rPr>
          <w:rFonts w:ascii="Georgia" w:hAnsi="Georgia"/>
          <w:sz w:val="20"/>
          <w:szCs w:val="20"/>
          <w:lang w:val="en"/>
        </w:rPr>
        <w:t xml:space="preserve"> </w:t>
      </w:r>
      <w:r w:rsidRPr="00D312B9">
        <w:rPr>
          <w:rFonts w:ascii="Georgia" w:hAnsi="Georgia"/>
          <w:bCs/>
          <w:sz w:val="20"/>
          <w:szCs w:val="20"/>
          <w:lang w:val="en"/>
        </w:rPr>
        <w:t>levels showed</w:t>
      </w:r>
      <w:r w:rsidRPr="00D312B9">
        <w:rPr>
          <w:rFonts w:ascii="Georgia" w:hAnsi="Georgia"/>
          <w:sz w:val="20"/>
          <w:szCs w:val="20"/>
          <w:lang w:val="en"/>
        </w:rPr>
        <w:t xml:space="preserve"> </w:t>
      </w:r>
      <w:r w:rsidRPr="00D312B9">
        <w:rPr>
          <w:rFonts w:ascii="Georgia" w:hAnsi="Georgia"/>
          <w:bCs/>
          <w:sz w:val="20"/>
          <w:szCs w:val="20"/>
          <w:lang w:val="en"/>
        </w:rPr>
        <w:t xml:space="preserve">a significant difference between groups </w:t>
      </w:r>
      <w:r w:rsidRPr="00D312B9">
        <w:rPr>
          <w:rFonts w:ascii="Georgia" w:hAnsi="Georgia"/>
          <w:sz w:val="20"/>
          <w:szCs w:val="20"/>
          <w:lang w:val="en"/>
        </w:rPr>
        <w:t xml:space="preserve">with </w:t>
      </w:r>
      <w:r w:rsidRPr="00D312B9">
        <w:rPr>
          <w:rFonts w:ascii="Georgia" w:hAnsi="Georgia"/>
          <w:bCs/>
          <w:sz w:val="20"/>
          <w:szCs w:val="20"/>
          <w:lang w:val="en"/>
        </w:rPr>
        <w:t xml:space="preserve">a value </w:t>
      </w:r>
      <w:r w:rsidRPr="00D312B9">
        <w:rPr>
          <w:rFonts w:ascii="Georgia" w:hAnsi="Georgia"/>
          <w:sz w:val="20"/>
          <w:szCs w:val="20"/>
          <w:lang w:val="en"/>
        </w:rPr>
        <w:t xml:space="preserve">of p = </w:t>
      </w:r>
      <w:r w:rsidRPr="00D312B9">
        <w:rPr>
          <w:rFonts w:ascii="Georgia" w:hAnsi="Georgia"/>
          <w:bCs/>
          <w:sz w:val="20"/>
          <w:szCs w:val="20"/>
          <w:lang w:val="en"/>
        </w:rPr>
        <w:t>0.001. One</w:t>
      </w:r>
      <w:r w:rsidRPr="00D312B9">
        <w:rPr>
          <w:rFonts w:ascii="Georgia" w:hAnsi="Georgia"/>
          <w:sz w:val="20"/>
          <w:szCs w:val="20"/>
          <w:lang w:val="en"/>
        </w:rPr>
        <w:t xml:space="preserve"> </w:t>
      </w:r>
      <w:r w:rsidRPr="00D312B9">
        <w:rPr>
          <w:rFonts w:ascii="Georgia" w:hAnsi="Georgia"/>
          <w:i/>
          <w:iCs/>
          <w:sz w:val="20"/>
          <w:szCs w:val="20"/>
          <w:lang w:val="en"/>
        </w:rPr>
        <w:t>Way Anova</w:t>
      </w:r>
      <w:r w:rsidRPr="00D312B9">
        <w:rPr>
          <w:rFonts w:ascii="Georgia" w:hAnsi="Georgia"/>
          <w:sz w:val="20"/>
          <w:szCs w:val="20"/>
          <w:lang w:val="en"/>
        </w:rPr>
        <w:t xml:space="preserve"> test results on LDL and</w:t>
      </w:r>
      <w:r w:rsidRPr="00D312B9">
        <w:rPr>
          <w:rFonts w:ascii="Georgia" w:hAnsi="Georgia"/>
          <w:bCs/>
          <w:sz w:val="20"/>
          <w:szCs w:val="20"/>
          <w:lang w:val="en"/>
        </w:rPr>
        <w:t xml:space="preserve"> IL-6</w:t>
      </w:r>
      <w:r w:rsidRPr="00D312B9">
        <w:rPr>
          <w:rFonts w:ascii="Georgia" w:hAnsi="Georgia"/>
          <w:sz w:val="20"/>
          <w:szCs w:val="20"/>
          <w:lang w:val="en"/>
        </w:rPr>
        <w:t xml:space="preserve"> </w:t>
      </w:r>
      <w:r w:rsidRPr="00D312B9">
        <w:rPr>
          <w:rFonts w:ascii="Georgia" w:hAnsi="Georgia"/>
          <w:bCs/>
          <w:sz w:val="20"/>
          <w:szCs w:val="20"/>
          <w:lang w:val="en"/>
        </w:rPr>
        <w:t>levels</w:t>
      </w:r>
      <w:r w:rsidRPr="00D312B9">
        <w:rPr>
          <w:rFonts w:ascii="Georgia" w:hAnsi="Georgia"/>
          <w:sz w:val="20"/>
          <w:szCs w:val="20"/>
          <w:lang w:val="en"/>
        </w:rPr>
        <w:t xml:space="preserve"> </w:t>
      </w:r>
      <w:r w:rsidRPr="00D312B9">
        <w:rPr>
          <w:rFonts w:ascii="Georgia" w:hAnsi="Georgia"/>
          <w:bCs/>
          <w:sz w:val="20"/>
          <w:szCs w:val="20"/>
          <w:lang w:val="en"/>
        </w:rPr>
        <w:t>showed significant differences between the groups (p=0.000)</w:t>
      </w:r>
      <w:r w:rsidRPr="00D312B9">
        <w:rPr>
          <w:rFonts w:ascii="Georgia" w:hAnsi="Georgia"/>
          <w:sz w:val="20"/>
          <w:szCs w:val="20"/>
          <w:lang w:val="en"/>
        </w:rPr>
        <w:t xml:space="preserve"> </w:t>
      </w:r>
      <w:r w:rsidRPr="00D312B9">
        <w:rPr>
          <w:rFonts w:ascii="Georgia" w:hAnsi="Georgia"/>
          <w:bCs/>
          <w:sz w:val="20"/>
          <w:szCs w:val="20"/>
          <w:lang w:val="en"/>
        </w:rPr>
        <w:t>and (p=0.004).</w:t>
      </w:r>
    </w:p>
    <w:p w14:paraId="5FD2E879" w14:textId="77777777" w:rsidR="00D312B9" w:rsidRPr="00D312B9" w:rsidRDefault="00D312B9" w:rsidP="00FE6F5A">
      <w:pPr>
        <w:pStyle w:val="NoSpacing"/>
        <w:jc w:val="both"/>
        <w:rPr>
          <w:rFonts w:ascii="Georgia" w:hAnsi="Georgia"/>
          <w:sz w:val="20"/>
          <w:szCs w:val="20"/>
        </w:rPr>
      </w:pPr>
      <w:r w:rsidRPr="00D312B9">
        <w:rPr>
          <w:rFonts w:ascii="Georgia" w:hAnsi="Georgia"/>
          <w:b/>
          <w:sz w:val="20"/>
          <w:szCs w:val="20"/>
          <w:lang w:val="en"/>
        </w:rPr>
        <w:t>Conclusion:</w:t>
      </w:r>
      <w:r w:rsidRPr="00D312B9">
        <w:rPr>
          <w:rFonts w:ascii="Georgia" w:hAnsi="Georgia"/>
          <w:sz w:val="20"/>
          <w:szCs w:val="20"/>
          <w:lang w:val="en"/>
        </w:rPr>
        <w:t xml:space="preserve">  </w:t>
      </w:r>
      <w:r w:rsidRPr="00D312B9">
        <w:rPr>
          <w:rFonts w:ascii="Georgia" w:hAnsi="Georgia"/>
          <w:bCs/>
          <w:sz w:val="20"/>
          <w:szCs w:val="20"/>
          <w:lang w:val="en"/>
        </w:rPr>
        <w:t>Administering</w:t>
      </w:r>
      <w:r w:rsidRPr="00D312B9">
        <w:rPr>
          <w:rFonts w:ascii="Georgia" w:hAnsi="Georgia"/>
          <w:sz w:val="20"/>
          <w:szCs w:val="20"/>
          <w:lang w:val="en"/>
        </w:rPr>
        <w:t xml:space="preserve"> VCO at a dose of 0.9 mL/ 200 g BB / day 0.45 mL / 200 g BB / day, </w:t>
      </w:r>
      <w:r w:rsidRPr="00D312B9">
        <w:rPr>
          <w:rFonts w:ascii="Georgia" w:hAnsi="Georgia"/>
          <w:bCs/>
          <w:sz w:val="20"/>
          <w:szCs w:val="20"/>
          <w:lang w:val="en"/>
        </w:rPr>
        <w:t>and 86.4 mg / 200 g</w:t>
      </w:r>
      <w:r w:rsidRPr="00D312B9">
        <w:rPr>
          <w:rFonts w:ascii="Georgia" w:hAnsi="Georgia"/>
          <w:sz w:val="20"/>
          <w:szCs w:val="20"/>
          <w:lang w:val="en"/>
        </w:rPr>
        <w:t xml:space="preserve"> </w:t>
      </w:r>
      <w:r w:rsidRPr="00D312B9">
        <w:rPr>
          <w:rFonts w:ascii="Georgia" w:hAnsi="Georgia"/>
          <w:bCs/>
          <w:sz w:val="20"/>
          <w:szCs w:val="20"/>
          <w:lang w:val="en"/>
        </w:rPr>
        <w:t>can increase</w:t>
      </w:r>
      <w:r w:rsidRPr="00D312B9">
        <w:rPr>
          <w:rFonts w:ascii="Georgia" w:hAnsi="Georgia"/>
          <w:sz w:val="20"/>
          <w:szCs w:val="20"/>
          <w:lang w:val="en"/>
        </w:rPr>
        <w:t xml:space="preserve"> HDL and</w:t>
      </w:r>
      <w:r w:rsidRPr="00D312B9">
        <w:rPr>
          <w:rFonts w:ascii="Georgia" w:hAnsi="Georgia"/>
          <w:bCs/>
          <w:iCs/>
          <w:sz w:val="20"/>
          <w:szCs w:val="20"/>
          <w:lang w:val="en"/>
        </w:rPr>
        <w:t xml:space="preserve"> IL-6 </w:t>
      </w:r>
      <w:r w:rsidRPr="00D312B9">
        <w:rPr>
          <w:rFonts w:ascii="Georgia" w:hAnsi="Georgia"/>
          <w:sz w:val="20"/>
          <w:szCs w:val="20"/>
          <w:lang w:val="en"/>
        </w:rPr>
        <w:t xml:space="preserve">levels in male rats </w:t>
      </w:r>
      <w:r w:rsidRPr="00D312B9">
        <w:rPr>
          <w:rFonts w:ascii="Georgia" w:hAnsi="Georgia"/>
          <w:i/>
          <w:iCs/>
          <w:sz w:val="20"/>
          <w:szCs w:val="20"/>
          <w:lang w:val="en"/>
        </w:rPr>
        <w:t xml:space="preserve">wistar </w:t>
      </w:r>
      <w:r w:rsidRPr="00D312B9">
        <w:rPr>
          <w:rFonts w:ascii="Georgia" w:hAnsi="Georgia"/>
          <w:bCs/>
          <w:sz w:val="20"/>
          <w:szCs w:val="20"/>
          <w:lang w:val="en"/>
        </w:rPr>
        <w:t xml:space="preserve">strain </w:t>
      </w:r>
      <w:r w:rsidRPr="00D312B9">
        <w:rPr>
          <w:rFonts w:ascii="Georgia" w:hAnsi="Georgia"/>
          <w:sz w:val="20"/>
          <w:szCs w:val="20"/>
          <w:lang w:val="en"/>
        </w:rPr>
        <w:t xml:space="preserve">with hypercholeleerol. And lowered LDL levels by the same dose in male mice </w:t>
      </w:r>
      <w:r w:rsidRPr="00D312B9">
        <w:rPr>
          <w:rFonts w:ascii="Georgia" w:hAnsi="Georgia"/>
          <w:i/>
          <w:iCs/>
          <w:sz w:val="20"/>
          <w:szCs w:val="20"/>
          <w:lang w:val="en"/>
        </w:rPr>
        <w:t>with</w:t>
      </w:r>
      <w:r w:rsidRPr="00D312B9">
        <w:rPr>
          <w:rFonts w:ascii="Georgia" w:hAnsi="Georgia"/>
          <w:sz w:val="20"/>
          <w:szCs w:val="20"/>
          <w:lang w:val="en"/>
        </w:rPr>
        <w:t xml:space="preserve"> hypercholeleerol.</w:t>
      </w:r>
    </w:p>
    <w:p w14:paraId="392D58AF" w14:textId="77777777" w:rsidR="00D312B9" w:rsidRPr="00D312B9" w:rsidRDefault="00D312B9" w:rsidP="00FE6F5A">
      <w:pPr>
        <w:pStyle w:val="NoSpacing"/>
        <w:jc w:val="both"/>
        <w:rPr>
          <w:rFonts w:ascii="Georgia" w:hAnsi="Georgia"/>
          <w:sz w:val="20"/>
          <w:szCs w:val="20"/>
        </w:rPr>
      </w:pPr>
    </w:p>
    <w:p w14:paraId="1BAFFEC1" w14:textId="50B60A3A" w:rsidR="00D312B9" w:rsidRDefault="00D312B9" w:rsidP="00FE6F5A">
      <w:pPr>
        <w:spacing w:after="0" w:line="240" w:lineRule="auto"/>
        <w:rPr>
          <w:rFonts w:ascii="Georgia" w:hAnsi="Georgia"/>
          <w:i/>
          <w:sz w:val="20"/>
          <w:szCs w:val="20"/>
          <w:lang w:val="en"/>
        </w:rPr>
      </w:pPr>
      <w:r w:rsidRPr="00D312B9">
        <w:rPr>
          <w:rFonts w:ascii="Georgia" w:hAnsi="Georgia"/>
          <w:bCs/>
          <w:i/>
          <w:sz w:val="20"/>
          <w:szCs w:val="20"/>
          <w:lang w:val="id-ID"/>
        </w:rPr>
        <w:t>Keyword</w:t>
      </w:r>
      <w:r w:rsidRPr="00D312B9">
        <w:rPr>
          <w:rFonts w:ascii="Georgia" w:hAnsi="Georgia"/>
          <w:i/>
          <w:sz w:val="20"/>
          <w:szCs w:val="20"/>
          <w:lang w:val="en"/>
        </w:rPr>
        <w:t xml:space="preserve"> : Hiperkorestrol, HDL, LDL, IL-6</w:t>
      </w:r>
    </w:p>
    <w:p w14:paraId="72B32484" w14:textId="5D8CC6CD" w:rsidR="00194A7A" w:rsidRDefault="00194A7A" w:rsidP="00FE6F5A">
      <w:pPr>
        <w:spacing w:after="0" w:line="240" w:lineRule="auto"/>
        <w:rPr>
          <w:rFonts w:ascii="Georgia" w:hAnsi="Georgia"/>
          <w:i/>
          <w:sz w:val="20"/>
          <w:szCs w:val="20"/>
          <w:lang w:val="en"/>
        </w:rPr>
      </w:pPr>
    </w:p>
    <w:p w14:paraId="7CB38135" w14:textId="7592FF4C" w:rsidR="00194A7A" w:rsidRPr="006118C0" w:rsidRDefault="00194A7A" w:rsidP="00FE6F5A">
      <w:pPr>
        <w:spacing w:after="0" w:line="240" w:lineRule="auto"/>
        <w:rPr>
          <w:rFonts w:ascii="Georgia" w:hAnsi="Georgia"/>
          <w:b/>
          <w:bCs/>
          <w:iCs/>
          <w:sz w:val="20"/>
          <w:szCs w:val="20"/>
          <w:lang w:val="id-ID"/>
        </w:rPr>
      </w:pPr>
      <w:r w:rsidRPr="006118C0">
        <w:rPr>
          <w:rFonts w:ascii="Georgia" w:hAnsi="Georgia"/>
          <w:b/>
          <w:bCs/>
          <w:iCs/>
          <w:sz w:val="20"/>
          <w:szCs w:val="20"/>
          <w:lang w:val="id-ID"/>
        </w:rPr>
        <w:t xml:space="preserve">Correspondence : </w:t>
      </w:r>
    </w:p>
    <w:p w14:paraId="6F0E77F9" w14:textId="2633B4E5" w:rsidR="000F1C93" w:rsidRDefault="00194A7A" w:rsidP="00FE6F5A">
      <w:pPr>
        <w:spacing w:after="0" w:line="240" w:lineRule="auto"/>
        <w:rPr>
          <w:rFonts w:ascii="Georgia" w:hAnsi="Georgia"/>
          <w:iCs/>
          <w:sz w:val="20"/>
          <w:szCs w:val="20"/>
          <w:lang w:val="id-ID"/>
        </w:rPr>
      </w:pPr>
      <w:r>
        <w:rPr>
          <w:rFonts w:ascii="Georgia" w:hAnsi="Georgia"/>
          <w:iCs/>
          <w:sz w:val="20"/>
          <w:szCs w:val="20"/>
          <w:lang w:val="id-ID"/>
        </w:rPr>
        <w:t xml:space="preserve">Meli Maulidia, Magister Ilmu Biomedik, Universitas Islam Sultan Agung Semarang. Jl. Raya Kaligawe Km.04 Semarang 50112, Central Jawa, Indonesia. Email : </w:t>
      </w:r>
      <w:hyperlink r:id="rId5" w:history="1">
        <w:r w:rsidRPr="00D61F6C">
          <w:rPr>
            <w:rStyle w:val="Hyperlink"/>
            <w:rFonts w:ascii="Georgia" w:hAnsi="Georgia"/>
            <w:iCs/>
            <w:sz w:val="20"/>
            <w:szCs w:val="20"/>
            <w:lang w:val="id-ID"/>
          </w:rPr>
          <w:t>maulidia.dr@gmail.com</w:t>
        </w:r>
      </w:hyperlink>
      <w:r>
        <w:rPr>
          <w:rFonts w:ascii="Georgia" w:hAnsi="Georgia"/>
          <w:iCs/>
          <w:sz w:val="20"/>
          <w:szCs w:val="20"/>
          <w:lang w:val="id-ID"/>
        </w:rPr>
        <w:t>. Mobile : +6285740003464</w:t>
      </w:r>
    </w:p>
    <w:p w14:paraId="48037323" w14:textId="77777777" w:rsidR="003D3F6F" w:rsidRPr="003D3F6F" w:rsidRDefault="003D3F6F" w:rsidP="00FE6F5A">
      <w:pPr>
        <w:spacing w:after="0" w:line="240" w:lineRule="auto"/>
        <w:rPr>
          <w:rFonts w:ascii="Georgia" w:hAnsi="Georgia"/>
          <w:iCs/>
          <w:sz w:val="20"/>
          <w:szCs w:val="20"/>
          <w:lang w:val="id-ID"/>
        </w:rPr>
      </w:pPr>
    </w:p>
    <w:p w14:paraId="6654DE1E" w14:textId="77777777" w:rsidR="000F1C93" w:rsidRPr="0025266C" w:rsidRDefault="000F1C93" w:rsidP="00FE6F5A">
      <w:pPr>
        <w:spacing w:after="0" w:line="240" w:lineRule="auto"/>
        <w:rPr>
          <w:rFonts w:ascii="Georgia" w:hAnsi="Georgia" w:cs="Times New Roman"/>
          <w:b/>
          <w:sz w:val="23"/>
          <w:szCs w:val="23"/>
        </w:rPr>
      </w:pPr>
      <w:r w:rsidRPr="0025266C">
        <w:rPr>
          <w:rFonts w:ascii="Georgia" w:hAnsi="Georgia" w:cs="Times New Roman"/>
          <w:b/>
          <w:sz w:val="23"/>
          <w:szCs w:val="23"/>
        </w:rPr>
        <w:t>1. BACKGROUND</w:t>
      </w:r>
    </w:p>
    <w:p w14:paraId="0D291D16" w14:textId="6A4E93D6" w:rsidR="00467B84" w:rsidRDefault="000F1C93" w:rsidP="00FE6F5A">
      <w:pPr>
        <w:spacing w:after="0" w:line="240" w:lineRule="auto"/>
        <w:ind w:firstLine="720"/>
        <w:jc w:val="both"/>
        <w:rPr>
          <w:rFonts w:ascii="Georgia" w:hAnsi="Georgia" w:cs="Times New Roman"/>
          <w:sz w:val="23"/>
          <w:szCs w:val="23"/>
          <w:lang w:val="id-ID"/>
        </w:rPr>
      </w:pPr>
      <w:r w:rsidRPr="00467B84">
        <w:rPr>
          <w:rFonts w:ascii="Georgia" w:hAnsi="Georgia" w:cs="Times New Roman"/>
          <w:sz w:val="23"/>
          <w:szCs w:val="23"/>
        </w:rPr>
        <w:t>Hypercholesterol is a change in blood lipid profile levels, which can be triggered by a diet pattern high in cholesterol</w:t>
      </w:r>
      <w:r w:rsidRPr="00467B84">
        <w:rPr>
          <w:rFonts w:ascii="Georgia" w:hAnsi="Georgia" w:cs="Times New Roman"/>
          <w:sz w:val="23"/>
          <w:szCs w:val="23"/>
          <w:lang w:val="id-ID"/>
        </w:rPr>
        <w:t xml:space="preserve"> </w:t>
      </w:r>
      <w:r w:rsidRPr="00467B84">
        <w:rPr>
          <w:rFonts w:ascii="Georgia" w:hAnsi="Georgia" w:cs="Times New Roman"/>
          <w:sz w:val="23"/>
          <w:szCs w:val="23"/>
          <w:lang w:val="id-ID"/>
        </w:rPr>
        <w:fldChar w:fldCharType="begin" w:fldLock="1"/>
      </w:r>
      <w:r w:rsidR="00467B84" w:rsidRPr="00467B84">
        <w:rPr>
          <w:rFonts w:ascii="Georgia" w:hAnsi="Georgia" w:cs="Times New Roman"/>
          <w:sz w:val="23"/>
          <w:szCs w:val="23"/>
          <w:lang w:val="id-ID"/>
        </w:rPr>
        <w:instrText>ADDIN CSL_CITATION {"citationItems":[{"id":"ITEM-1","itemData":{"abstract":"Dyslipidemia is a disorder of lipid metabolism is marked increase in total cholesterol, LDL cholesterol, triglycerides and decreased HDL cholesterol, Apo A1 in the blood. Data from national healthy and nutrition examination survey (NHANES) in 2005 – 2006 known that american populatian have high cholesterol are upper 240 mg/dl [American Heart Association (AHA) recommended 200 mg/dL]. Prevalence of dyslipidemia in Indonesia in 2004 is 10,9% of all population. This research is an experimental laboratory by using the approach of the post-test only control group design that aim to know effect of ethanol extract of celery root to lipid profil and apolipoprotein A1 of rat’s blood serum. Population of rats is devided to four groups. They made dyslipidemia by eating high colesterol food and than three of four groups, called treatment group, given different doses of extract ethanol of celery root are 0.2mg/g, 0.4mg/g, 0.8mg/g, and another group is a controller group. In controller group showed increase LDL, TG and decrease HDL and Apo A1. In treatment group showed decrease LDL, TG and increase HDL, Apo A1 following increase doses of extract ethanol of celery root. The mentioned happened cause of extract ethanol of celery root have d-limonene. D-limonene can decrese LDL, TG and increase HDL, Apo A1 by activated peroxisome proliferator-activated receptor (PPAR)-\u0001 signaling, and inhibited liverX receptor (LXR)- signaling mechanism. The study concluded that effect of ethanol extract of celery root can decrease LDL cholesterol, triglycerida and increase HDL cholesterol, Apo-A1. In the future the ethanol extract of celery root can be solution of dyslipidemia cases.","author":[{"dropping-particle":"","family":"Romadhoni","given":"Fadhol","non-dropping-particle":"","parse-names":false,"suffix":""}],"container-title":"Tesis","id":"ITEM-1","issued":{"date-parts":[["2014"]]},"page":"1","title":"Pharmacodinamic Study of Ethanol Extract of Celery Root (Appium graveolens) to Lipid Profil And APO A1 Of White Rat Strain Wistar (Rattus novergicus Strain Wistar) Dyslipedemia","type":"article-journal"},"uris":["http://www.mendeley.com/documents/?uuid=45be6299-1c27-4158-b465-560b899e6fe5"]}],"mendeley":{"formattedCitation":"(Romadhoni, 2014)","plainTextFormattedCitation":"(Romadhoni, 2014)","previouslyFormattedCitation":"(Romadhoni, 2014)"},"properties":{"noteIndex":0},"schema":"https://github.com/citation-style-language/schema/raw/master/csl-citation.json"}</w:instrText>
      </w:r>
      <w:r w:rsidRPr="00467B84">
        <w:rPr>
          <w:rFonts w:ascii="Georgia" w:hAnsi="Georgia" w:cs="Times New Roman"/>
          <w:sz w:val="23"/>
          <w:szCs w:val="23"/>
          <w:lang w:val="id-ID"/>
        </w:rPr>
        <w:fldChar w:fldCharType="separate"/>
      </w:r>
      <w:r w:rsidRPr="00467B84">
        <w:rPr>
          <w:rFonts w:ascii="Georgia" w:hAnsi="Georgia" w:cs="Times New Roman"/>
          <w:noProof/>
          <w:sz w:val="23"/>
          <w:szCs w:val="23"/>
          <w:lang w:val="id-ID"/>
        </w:rPr>
        <w:t>(Romadhoni, 2014)</w:t>
      </w:r>
      <w:r w:rsidRPr="00467B84">
        <w:rPr>
          <w:rFonts w:ascii="Georgia" w:hAnsi="Georgia" w:cs="Times New Roman"/>
          <w:sz w:val="23"/>
          <w:szCs w:val="23"/>
          <w:lang w:val="id-ID"/>
        </w:rPr>
        <w:fldChar w:fldCharType="end"/>
      </w:r>
      <w:r w:rsidRPr="00467B84">
        <w:rPr>
          <w:rFonts w:ascii="Georgia" w:hAnsi="Georgia" w:cs="Times New Roman"/>
          <w:sz w:val="23"/>
          <w:szCs w:val="23"/>
          <w:lang w:val="id-ID"/>
        </w:rPr>
        <w:t xml:space="preserve">. </w:t>
      </w:r>
      <w:r w:rsidR="00D84C34" w:rsidRPr="00467B84">
        <w:rPr>
          <w:rFonts w:ascii="Georgia" w:hAnsi="Georgia" w:cs="Times New Roman"/>
          <w:sz w:val="23"/>
          <w:szCs w:val="23"/>
        </w:rPr>
        <w:t>A high-cholesterol diet causes an imbalance in the fat metabolism system resulting in LDL and HDL levels in an abnormal range which is a risk factor for cardiovascular disease</w:t>
      </w:r>
      <w:r w:rsidR="00467B84" w:rsidRPr="00467B84">
        <w:rPr>
          <w:rFonts w:ascii="Georgia" w:hAnsi="Georgia" w:cs="Times New Roman"/>
          <w:sz w:val="23"/>
          <w:szCs w:val="23"/>
          <w:lang w:val="id-ID"/>
        </w:rPr>
        <w:t xml:space="preserve">. </w:t>
      </w:r>
      <w:r w:rsidR="00467B84" w:rsidRPr="00467B84">
        <w:rPr>
          <w:rFonts w:ascii="Georgia" w:hAnsi="Georgia" w:cs="Times New Roman"/>
          <w:sz w:val="23"/>
          <w:szCs w:val="23"/>
        </w:rPr>
        <w:t>Increased levels of IL-6 in such concidients lead to low levels of systemic inflammation. The cytokine IL-6 can inhibit the activity of lipoprotein lipase (LPL), increase the activity of lipolytic endothelial lipase, which is associated with a decrease in HDL levels. Pharmacological therapy efforts can actually cause side effects, therefore it is necessary to have alternative natural treatments in treating hypercholesterolemia</w:t>
      </w:r>
      <w:r w:rsidR="00467B84" w:rsidRPr="00467B84">
        <w:rPr>
          <w:rFonts w:ascii="Georgia" w:hAnsi="Georgia" w:cs="Times New Roman"/>
          <w:sz w:val="23"/>
          <w:szCs w:val="23"/>
          <w:lang w:val="id-ID"/>
        </w:rPr>
        <w:t xml:space="preserve"> </w:t>
      </w:r>
      <w:r w:rsidR="00467B84" w:rsidRPr="00467B84">
        <w:rPr>
          <w:rFonts w:ascii="Georgia" w:hAnsi="Georgia" w:cs="Times New Roman"/>
          <w:sz w:val="23"/>
          <w:szCs w:val="23"/>
        </w:rPr>
        <w:fldChar w:fldCharType="begin" w:fldLock="1"/>
      </w:r>
      <w:r w:rsidR="00467B84">
        <w:rPr>
          <w:rFonts w:ascii="Georgia" w:hAnsi="Georgia" w:cs="Times New Roman"/>
          <w:sz w:val="23"/>
          <w:szCs w:val="23"/>
        </w:rPr>
        <w:instrText>ADDIN CSL_CITATION {"citationItems":[{"id":"ITEM-1","itemData":{"abstract":"Pendahuluan: Obesitas memiliki karakteristik adanya peningkatan ukuran (hipertrofi) dan jumlah (hiperplasia) jaringan adiposa. Jaringan adiposa bersifat parakrin yang menghasilkan sitokin dan mediator bioaktif dalam jumlah besar seperti leptin, adiponectin, interleukin-6 (IL-6) dan tumor necrosis factor-α (TNF-α). Obesitas merupakan suatu keadaan inflamasi kronis derajat rendah. Pendapat ini didasari oleh adanya beberapa penanda inflamasi seperti IL-6, IL-8, leptin, C Reactive Protein (CRP) dan haptoglobin yang meningkat pada individu dengan obesitas. Dalam jaringan adiposa IL-6 diekspresikan oleh sel lemak dan matriks jaringan lemak. Ekspresi dan sekresinya di jaringan lemak visceral 2-3 kali lebih banyak dibanding jaringan lemak subkutan. Ekspresi IL-6 di jaringan adiposa dan kadar IL-6 di sirkulasi berkorelasi positif dengan obesitas, gangguan toleransi glukosa dan resistensi insulin. IL-6 juga menekan insulin signaling di perifer dengan cara menurunkan ekspresi insulin receptor signaling components, dan memicu supresi cytokine signaling 3. TNF-α adalah sitokin yang pada awalnya digambarkan sebagai endotoxin-induced factor yang menyebabkan necrosis dari tumor, yang pada penelitian selanjutnya ternyata identik dengan cahexin, yang disekresi oleh macrophage in vitro. TNF-α diekspresikan di sel lemak dan sel stromavaskuler. Ekspresi TNF-α di lemak subkutan lebih besar dibanding jaringan lemak visceral. Ekspresi TNF-α di jaringan lemak meningkat pada obesitas dan berkorelasi positip dengan adipositas dan resistensi insulin. TNF-α merusak sinyalisasi insulin secara tidak langsung dan menyebabkan resitensi insulin dibeberapa jaringan. Simpulan: Terjadi peningkatan ekspresi Il-6 dan TNF-α pada keadaan obesitas.","author":[{"dropping-particle":"","family":"Susantiningsih","given":"Tiwuk","non-dropping-particle":"","parse-names":false,"suffix":""},{"dropping-particle":"","family":"Mustofa","given":"Syazili","non-dropping-particle":"","parse-names":false,"suffix":""}],"container-title":"JK Unila","id":"ITEM-1","issue":"2","issued":{"date-parts":[["2018"]]},"page":"174-180","title":"Ekspresi IL-6 dan TNF- α Pada Obesitas","type":"article-journal","volume":"2"},"uris":["http://www.mendeley.com/documents/?uuid=928208bd-3383-40ef-8a12-396e7c65709e"]}],"mendeley":{"formattedCitation":"(Susantiningsih &amp; Mustofa, 2018)","plainTextFormattedCitation":"(Susantiningsih &amp; Mustofa, 2018)","previouslyFormattedCitation":"(Susantiningsih &amp; Mustofa, 2018)"},"properties":{"noteIndex":0},"schema":"https://github.com/citation-style-language/schema/raw/master/csl-citation.json"}</w:instrText>
      </w:r>
      <w:r w:rsidR="00467B84" w:rsidRPr="00467B84">
        <w:rPr>
          <w:rFonts w:ascii="Georgia" w:hAnsi="Georgia" w:cs="Times New Roman"/>
          <w:sz w:val="23"/>
          <w:szCs w:val="23"/>
        </w:rPr>
        <w:fldChar w:fldCharType="separate"/>
      </w:r>
      <w:r w:rsidR="00467B84" w:rsidRPr="00467B84">
        <w:rPr>
          <w:rFonts w:ascii="Georgia" w:hAnsi="Georgia" w:cs="Times New Roman"/>
          <w:noProof/>
          <w:sz w:val="23"/>
          <w:szCs w:val="23"/>
        </w:rPr>
        <w:t>(Susantiningsih &amp; Mustofa, 2018)</w:t>
      </w:r>
      <w:r w:rsidR="00467B84" w:rsidRPr="00467B84">
        <w:rPr>
          <w:rFonts w:ascii="Georgia" w:hAnsi="Georgia" w:cs="Times New Roman"/>
          <w:sz w:val="23"/>
          <w:szCs w:val="23"/>
        </w:rPr>
        <w:fldChar w:fldCharType="end"/>
      </w:r>
      <w:r w:rsidR="00467B84" w:rsidRPr="00467B84">
        <w:rPr>
          <w:rFonts w:ascii="Georgia" w:hAnsi="Georgia" w:cs="Times New Roman"/>
          <w:sz w:val="23"/>
          <w:szCs w:val="23"/>
          <w:lang w:val="id-ID"/>
        </w:rPr>
        <w:t>.</w:t>
      </w:r>
      <w:r w:rsidR="00467B84">
        <w:rPr>
          <w:rFonts w:ascii="Georgia" w:hAnsi="Georgia" w:cs="Times New Roman"/>
          <w:sz w:val="23"/>
          <w:szCs w:val="23"/>
          <w:lang w:val="id-ID"/>
        </w:rPr>
        <w:t xml:space="preserve"> </w:t>
      </w:r>
      <w:r w:rsidR="00467B84" w:rsidRPr="00467B84">
        <w:rPr>
          <w:rFonts w:ascii="Georgia" w:hAnsi="Georgia" w:cs="Times New Roman"/>
          <w:sz w:val="23"/>
          <w:szCs w:val="23"/>
        </w:rPr>
        <w:t>VCO has anti-inflammatory effects and can improve hypercholesterol, but until now there is still little data on the administration of VCO to lipid levels such as HDL, LDL, and IL-6 in hypercholesterol conditions</w:t>
      </w:r>
      <w:r w:rsidR="00467B84">
        <w:rPr>
          <w:rFonts w:ascii="Georgia" w:hAnsi="Georgia" w:cs="Times New Roman"/>
          <w:sz w:val="23"/>
          <w:szCs w:val="23"/>
          <w:lang w:val="id-ID"/>
        </w:rPr>
        <w:t xml:space="preserve"> </w:t>
      </w:r>
      <w:r w:rsidR="00467B84">
        <w:rPr>
          <w:rFonts w:ascii="Georgia" w:hAnsi="Georgia" w:cs="Times New Roman"/>
          <w:sz w:val="23"/>
          <w:szCs w:val="23"/>
          <w:lang w:val="id-ID"/>
        </w:rPr>
        <w:fldChar w:fldCharType="begin" w:fldLock="1"/>
      </w:r>
      <w:r w:rsidR="00332324">
        <w:rPr>
          <w:rFonts w:ascii="Georgia" w:hAnsi="Georgia" w:cs="Times New Roman"/>
          <w:sz w:val="23"/>
          <w:szCs w:val="23"/>
          <w:lang w:val="id-ID"/>
        </w:rPr>
        <w:instrText>ADDIN CSL_CITATION {"citationItems":[{"id":"ITEM-1","itemData":{"DOI":"10.1017/S000711451400004X","ISSN":"14752662","PMID":"24513138","abstract":"The present study was carried out to evaluate the effects of virgin coconut oil (VCO) compared with copra oil, olive oil and sunflower-seed oil on the synthesis and oxidation of fatty acids and the molecular regulation of fatty acid metabolism in normal rats. Male Sprague-Dawley rats were fed the test oils at 8Â % for 45 d along with a synthetic diet. Dietary supplementation of VCO decreased tissue lipid levels and reduced the activity of the enzymes involved in lipogenesis, namely acyl CoA carboxylase and fatty acid synthase (FAS) (P&lt;Â 0·05). Moreover, VCO significantly (P&lt;Â 0·05) reduced the de novo synthesis of fatty acids by down-regulating the mRNA expression of FAS and its transcription factor, sterol regulatory element-binding protein-1c, compared with the other oils. VCO significantly (P&lt;Â 0·05) increased the mitochondrial and peroxisomal β-oxidation of fatty acids, which was evident from the increased activities of carnitine palmitoyl transferase I, acyl CoA oxidase and the enzymes involved in mitochondrial β-oxidation; this was accomplished by up-regulating the mRNA expression of PPARα and its target genes involved in fatty acid oxidation. In conclusion, the present results confirmed that supplementation of VCO has beneficial effects on lipid parameters by reducing lipogenesis and enhancing the rate of fatty acid catabolism; this effect was mediated at least in part via PPARα-dependent pathways. Thus, dietary VCO reduces the risk for CHD by beneficially modulating the synthesis and degradation of fatty acids. © 2014 The Authors.","author":[{"dropping-particle":"","family":"Arunima","given":"Sakunthala","non-dropping-particle":"","parse-names":false,"suffix":""},{"dropping-particle":"","family":"Rajamohan","given":"Thankappan","non-dropping-particle":"","parse-names":false,"suffix":""}],"container-title":"British Journal of Nutrition","id":"ITEM-1","issue":"10","issued":{"date-parts":[["2014"]]},"page":"1782-1790","title":"Influence of virgin coconut oil-enriched diet on the transcriptional regulation of fatty acid synthesis and oxidation in rats-a comparative study","type":"article-journal","volume":"111"},"uris":["http://www.mendeley.com/documents/?uuid=b82b519a-316b-46c6-af3f-78bfd0a0546f"]}],"mendeley":{"formattedCitation":"(Arunima &amp; Rajamohan, 2014)","plainTextFormattedCitation":"(Arunima &amp; Rajamohan, 2014)","previouslyFormattedCitation":"(Arunima &amp; Rajamohan, 2014)"},"properties":{"noteIndex":0},"schema":"https://github.com/citation-style-language/schema/raw/master/csl-citation.json"}</w:instrText>
      </w:r>
      <w:r w:rsidR="00467B84">
        <w:rPr>
          <w:rFonts w:ascii="Georgia" w:hAnsi="Georgia" w:cs="Times New Roman"/>
          <w:sz w:val="23"/>
          <w:szCs w:val="23"/>
          <w:lang w:val="id-ID"/>
        </w:rPr>
        <w:fldChar w:fldCharType="separate"/>
      </w:r>
      <w:r w:rsidR="00467B84" w:rsidRPr="00467B84">
        <w:rPr>
          <w:rFonts w:ascii="Georgia" w:hAnsi="Georgia" w:cs="Times New Roman"/>
          <w:noProof/>
          <w:sz w:val="23"/>
          <w:szCs w:val="23"/>
          <w:lang w:val="id-ID"/>
        </w:rPr>
        <w:t>(Arunima &amp; Rajamohan, 2014)</w:t>
      </w:r>
      <w:r w:rsidR="00467B84">
        <w:rPr>
          <w:rFonts w:ascii="Georgia" w:hAnsi="Georgia" w:cs="Times New Roman"/>
          <w:sz w:val="23"/>
          <w:szCs w:val="23"/>
          <w:lang w:val="id-ID"/>
        </w:rPr>
        <w:fldChar w:fldCharType="end"/>
      </w:r>
    </w:p>
    <w:p w14:paraId="142F8EA7" w14:textId="54AC9B08" w:rsidR="00416186" w:rsidRDefault="00467B84" w:rsidP="00AD1752">
      <w:pPr>
        <w:spacing w:after="0" w:line="240" w:lineRule="auto"/>
        <w:ind w:firstLine="720"/>
        <w:jc w:val="both"/>
        <w:rPr>
          <w:rFonts w:ascii="Georgia" w:hAnsi="Georgia" w:cs="Times New Roman"/>
          <w:sz w:val="23"/>
          <w:szCs w:val="23"/>
        </w:rPr>
      </w:pPr>
      <w:r w:rsidRPr="00416186">
        <w:rPr>
          <w:rFonts w:ascii="Georgia" w:hAnsi="Georgia" w:cs="Times New Roman"/>
          <w:sz w:val="23"/>
          <w:szCs w:val="23"/>
        </w:rPr>
        <w:t>Based on previous studies,  further research needs to be conducted on the effect of VCO administration on LDL, HDL, and IL-6 cholesterol levels in hypercholesterol states at stratified doses (0.45 ml /day and 0.9 ml /day) in a shorter time.</w:t>
      </w:r>
    </w:p>
    <w:p w14:paraId="6BFCFF4E" w14:textId="77777777" w:rsidR="00416186" w:rsidRPr="0025266C" w:rsidRDefault="00416186" w:rsidP="00FE6F5A">
      <w:pPr>
        <w:spacing w:after="0" w:line="240" w:lineRule="auto"/>
        <w:jc w:val="both"/>
        <w:rPr>
          <w:rFonts w:ascii="Georgia" w:hAnsi="Georgia" w:cs="Times New Roman"/>
          <w:b/>
          <w:sz w:val="23"/>
          <w:szCs w:val="23"/>
          <w:shd w:val="clear" w:color="auto" w:fill="FFFFFF"/>
        </w:rPr>
      </w:pPr>
      <w:r w:rsidRPr="0025266C">
        <w:rPr>
          <w:rFonts w:ascii="Georgia" w:hAnsi="Georgia" w:cs="Times New Roman"/>
          <w:b/>
          <w:sz w:val="23"/>
          <w:szCs w:val="23"/>
        </w:rPr>
        <w:t xml:space="preserve">2. Subjects and Methods </w:t>
      </w:r>
    </w:p>
    <w:p w14:paraId="7B32EEB8" w14:textId="1C8E28B2" w:rsidR="00416186" w:rsidRDefault="00F02169" w:rsidP="00FE6F5A">
      <w:pPr>
        <w:spacing w:after="0" w:line="240" w:lineRule="auto"/>
        <w:jc w:val="both"/>
        <w:rPr>
          <w:rFonts w:ascii="Georgia" w:hAnsi="Georgia" w:cs="Times New Roman"/>
          <w:sz w:val="23"/>
          <w:szCs w:val="23"/>
          <w:lang w:val="id-ID"/>
        </w:rPr>
      </w:pPr>
      <w:r>
        <w:rPr>
          <w:rFonts w:ascii="Georgia" w:hAnsi="Georgia" w:cs="Times New Roman"/>
          <w:sz w:val="23"/>
          <w:szCs w:val="23"/>
          <w:lang w:val="id-ID"/>
        </w:rPr>
        <w:tab/>
      </w:r>
      <w:r w:rsidRPr="00F02169">
        <w:rPr>
          <w:rFonts w:ascii="Georgia" w:hAnsi="Georgia" w:cs="Times New Roman"/>
          <w:sz w:val="23"/>
          <w:szCs w:val="23"/>
          <w:lang w:val="id-ID"/>
        </w:rPr>
        <w:t>This study used a True experimental design with a Post Test Only Control Group Design research design</w:t>
      </w:r>
      <w:r>
        <w:rPr>
          <w:rFonts w:ascii="Georgia" w:hAnsi="Georgia" w:cs="Times New Roman"/>
          <w:sz w:val="23"/>
          <w:szCs w:val="23"/>
          <w:lang w:val="id-ID"/>
        </w:rPr>
        <w:t xml:space="preserve">. </w:t>
      </w:r>
      <w:r w:rsidRPr="00F02169">
        <w:rPr>
          <w:rFonts w:ascii="Georgia" w:hAnsi="Georgia" w:cs="Times New Roman"/>
          <w:sz w:val="23"/>
          <w:szCs w:val="23"/>
          <w:lang w:val="id-ID"/>
        </w:rPr>
        <w:t>The population of this study used male Wistar rats aged 2-3 months, weighing 150-200 grams, which were obtained from the PSPG Nutrition Laboratory of Gajah Mada University.</w:t>
      </w:r>
      <w:r>
        <w:rPr>
          <w:rFonts w:ascii="Georgia" w:hAnsi="Georgia" w:cs="Times New Roman"/>
          <w:sz w:val="23"/>
          <w:szCs w:val="23"/>
          <w:lang w:val="id-ID"/>
        </w:rPr>
        <w:t xml:space="preserve"> </w:t>
      </w:r>
      <w:r w:rsidRPr="00F02169">
        <w:rPr>
          <w:rFonts w:ascii="Georgia" w:hAnsi="Georgia" w:cs="Times New Roman"/>
          <w:sz w:val="23"/>
          <w:szCs w:val="23"/>
          <w:lang w:val="id-ID"/>
        </w:rPr>
        <w:t>Research sampling using simple random sampling method</w:t>
      </w:r>
      <w:r>
        <w:rPr>
          <w:rFonts w:ascii="Georgia" w:hAnsi="Georgia" w:cs="Times New Roman"/>
          <w:sz w:val="23"/>
          <w:szCs w:val="23"/>
          <w:lang w:val="id-ID"/>
        </w:rPr>
        <w:t xml:space="preserve">. </w:t>
      </w:r>
      <w:r w:rsidRPr="00F02169">
        <w:rPr>
          <w:rFonts w:ascii="Georgia" w:hAnsi="Georgia" w:cs="Times New Roman"/>
          <w:sz w:val="23"/>
          <w:szCs w:val="23"/>
          <w:lang w:val="id-ID"/>
        </w:rPr>
        <w:t xml:space="preserve">The sample size </w:t>
      </w:r>
      <w:r w:rsidRPr="00F02169">
        <w:rPr>
          <w:rFonts w:ascii="Georgia" w:hAnsi="Georgia" w:cs="Times New Roman"/>
          <w:sz w:val="23"/>
          <w:szCs w:val="23"/>
          <w:lang w:val="id-ID"/>
        </w:rPr>
        <w:lastRenderedPageBreak/>
        <w:t>according to WHO is at least 5 heads per group with a reserve of 10% (1 head). So that the total number of samples used is 20 heads and 4 reserve tails, namely 24 samples</w:t>
      </w:r>
      <w:r>
        <w:rPr>
          <w:rFonts w:ascii="Georgia" w:hAnsi="Georgia" w:cs="Times New Roman"/>
          <w:sz w:val="23"/>
          <w:szCs w:val="23"/>
          <w:lang w:val="id-ID"/>
        </w:rPr>
        <w:t xml:space="preserve">. </w:t>
      </w:r>
    </w:p>
    <w:p w14:paraId="7A3FB220" w14:textId="77777777" w:rsidR="00F02169" w:rsidRPr="0025266C" w:rsidRDefault="00F02169" w:rsidP="00FE6F5A">
      <w:pPr>
        <w:spacing w:after="0" w:line="240" w:lineRule="auto"/>
        <w:jc w:val="both"/>
        <w:rPr>
          <w:rFonts w:ascii="Georgia" w:hAnsi="Georgia" w:cs="Times New Roman"/>
          <w:b/>
          <w:sz w:val="23"/>
          <w:szCs w:val="23"/>
        </w:rPr>
      </w:pPr>
      <w:r w:rsidRPr="0025266C">
        <w:rPr>
          <w:rFonts w:ascii="Georgia" w:hAnsi="Georgia" w:cs="Times New Roman"/>
          <w:b/>
          <w:sz w:val="23"/>
          <w:szCs w:val="23"/>
        </w:rPr>
        <w:t>Inclusion criteria</w:t>
      </w:r>
    </w:p>
    <w:p w14:paraId="14BBF914" w14:textId="082FBB79" w:rsidR="00F02169" w:rsidRDefault="00F02169" w:rsidP="00FE6F5A">
      <w:pPr>
        <w:spacing w:after="0" w:line="240" w:lineRule="auto"/>
        <w:jc w:val="both"/>
        <w:rPr>
          <w:rFonts w:ascii="Georgia" w:hAnsi="Georgia" w:cs="Times New Roman"/>
          <w:sz w:val="23"/>
          <w:szCs w:val="23"/>
          <w:lang w:val="id-ID"/>
        </w:rPr>
      </w:pPr>
      <w:r w:rsidRPr="00F02169">
        <w:rPr>
          <w:rFonts w:ascii="Georgia" w:hAnsi="Georgia" w:cs="Times New Roman"/>
          <w:sz w:val="23"/>
          <w:szCs w:val="23"/>
          <w:lang w:val="id-ID"/>
        </w:rPr>
        <w:t>Male Wistar Rats Rats in an active, healthy, behavioral, and normal activity Age 2-3 months Weight 150-200 grams</w:t>
      </w:r>
    </w:p>
    <w:p w14:paraId="36CB5B44" w14:textId="6ACD1B8E" w:rsidR="00F02169" w:rsidRDefault="00F02169" w:rsidP="00FE6F5A">
      <w:pPr>
        <w:spacing w:after="0" w:line="240" w:lineRule="auto"/>
        <w:jc w:val="both"/>
        <w:rPr>
          <w:rFonts w:ascii="Georgia" w:hAnsi="Georgia" w:cs="Times New Roman"/>
          <w:b/>
          <w:sz w:val="23"/>
          <w:szCs w:val="23"/>
        </w:rPr>
      </w:pPr>
      <w:r w:rsidRPr="0025266C">
        <w:rPr>
          <w:rFonts w:ascii="Georgia" w:hAnsi="Georgia" w:cs="Times New Roman"/>
          <w:b/>
          <w:sz w:val="23"/>
          <w:szCs w:val="23"/>
        </w:rPr>
        <w:t>Exclusion criteria</w:t>
      </w:r>
    </w:p>
    <w:p w14:paraId="59A6FC56" w14:textId="01A51D74" w:rsidR="00F02169" w:rsidRDefault="00F02169" w:rsidP="00FE6F5A">
      <w:pPr>
        <w:spacing w:after="0" w:line="240" w:lineRule="auto"/>
        <w:jc w:val="both"/>
        <w:rPr>
          <w:rFonts w:ascii="Georgia" w:hAnsi="Georgia" w:cs="Times New Roman"/>
          <w:bCs/>
          <w:sz w:val="23"/>
          <w:szCs w:val="23"/>
        </w:rPr>
      </w:pPr>
      <w:r w:rsidRPr="00F02169">
        <w:rPr>
          <w:rFonts w:ascii="Georgia" w:hAnsi="Georgia" w:cs="Times New Roman"/>
          <w:bCs/>
          <w:sz w:val="23"/>
          <w:szCs w:val="23"/>
        </w:rPr>
        <w:t xml:space="preserve">Rats </w:t>
      </w:r>
      <w:r>
        <w:rPr>
          <w:rFonts w:ascii="Georgia" w:hAnsi="Georgia" w:cs="Times New Roman"/>
          <w:bCs/>
          <w:sz w:val="23"/>
          <w:szCs w:val="23"/>
          <w:lang w:val="id-ID"/>
        </w:rPr>
        <w:t>h</w:t>
      </w:r>
      <w:r w:rsidRPr="00F02169">
        <w:rPr>
          <w:rFonts w:ascii="Georgia" w:hAnsi="Georgia" w:cs="Times New Roman"/>
          <w:bCs/>
          <w:sz w:val="23"/>
          <w:szCs w:val="23"/>
        </w:rPr>
        <w:t>ave anatomical abnormalities</w:t>
      </w:r>
    </w:p>
    <w:p w14:paraId="3667A942" w14:textId="21FF63BE" w:rsidR="00F02169" w:rsidRDefault="00834272" w:rsidP="00FE6F5A">
      <w:pPr>
        <w:spacing w:after="0" w:line="240" w:lineRule="auto"/>
        <w:jc w:val="both"/>
        <w:rPr>
          <w:rFonts w:ascii="Georgia" w:hAnsi="Georgia" w:cs="Times New Roman"/>
          <w:b/>
          <w:sz w:val="23"/>
          <w:szCs w:val="23"/>
        </w:rPr>
      </w:pPr>
      <w:r w:rsidRPr="00834272">
        <w:rPr>
          <w:rFonts w:ascii="Georgia" w:hAnsi="Georgia" w:cs="Times New Roman"/>
          <w:b/>
          <w:sz w:val="23"/>
          <w:szCs w:val="23"/>
        </w:rPr>
        <w:t>Research Instruments</w:t>
      </w:r>
    </w:p>
    <w:p w14:paraId="5DA23A33" w14:textId="7092034E" w:rsidR="00834272" w:rsidRDefault="00834272" w:rsidP="00FE6F5A">
      <w:pPr>
        <w:spacing w:after="0" w:line="240" w:lineRule="auto"/>
        <w:jc w:val="both"/>
        <w:rPr>
          <w:rFonts w:ascii="Georgia" w:hAnsi="Georgia" w:cs="Times New Roman"/>
          <w:bCs/>
          <w:sz w:val="23"/>
          <w:szCs w:val="23"/>
        </w:rPr>
      </w:pPr>
      <w:r w:rsidRPr="00834272">
        <w:rPr>
          <w:rFonts w:ascii="Georgia" w:hAnsi="Georgia" w:cs="Times New Roman"/>
          <w:bCs/>
          <w:sz w:val="23"/>
          <w:szCs w:val="23"/>
        </w:rPr>
        <w:t>The tools used in this study were experimental animal cages, glass objects, oval needles (Gavage), 1 cc size syringes, surgical tubs, dissecting sets, test tubes, drip pipettes, micro plates, micro pipettes, yellow type, blue type, ELISA Reader Spectrophotometer, Blood photometer.</w:t>
      </w:r>
    </w:p>
    <w:p w14:paraId="2C95AE4A" w14:textId="3D01D96B" w:rsidR="00834272" w:rsidRDefault="00834272" w:rsidP="00FE6F5A">
      <w:pPr>
        <w:spacing w:after="0" w:line="240" w:lineRule="auto"/>
        <w:jc w:val="both"/>
        <w:rPr>
          <w:rFonts w:ascii="Georgia" w:hAnsi="Georgia" w:cs="Times New Roman"/>
          <w:b/>
          <w:sz w:val="23"/>
          <w:szCs w:val="23"/>
        </w:rPr>
      </w:pPr>
      <w:r w:rsidRPr="00834272">
        <w:rPr>
          <w:rFonts w:ascii="Georgia" w:hAnsi="Georgia" w:cs="Times New Roman"/>
          <w:b/>
          <w:sz w:val="23"/>
          <w:szCs w:val="23"/>
        </w:rPr>
        <w:t>Research Materials</w:t>
      </w:r>
    </w:p>
    <w:p w14:paraId="30429315" w14:textId="08484D9D" w:rsidR="00CA584F" w:rsidRDefault="00834272" w:rsidP="00FE6F5A">
      <w:pPr>
        <w:spacing w:after="0" w:line="240" w:lineRule="auto"/>
        <w:jc w:val="both"/>
        <w:rPr>
          <w:rFonts w:ascii="Georgia" w:hAnsi="Georgia" w:cs="Times New Roman"/>
          <w:bCs/>
          <w:sz w:val="23"/>
          <w:szCs w:val="23"/>
          <w:lang w:val="id-ID"/>
        </w:rPr>
      </w:pPr>
      <w:r w:rsidRPr="00834272">
        <w:rPr>
          <w:rFonts w:ascii="Georgia" w:hAnsi="Georgia" w:cs="Times New Roman"/>
          <w:bCs/>
          <w:sz w:val="23"/>
          <w:szCs w:val="23"/>
        </w:rPr>
        <w:t>Male Wistar rats age 2-3 months weighing 150-200 grams, 24 heads. Virgin Coconut Oil (VCO) Hypercholesterol feed using Serum quail egg yolk, rat blood Reagent dyasis ELISA kit Rat IL-6 EDTA 10% Solution Turk Aquades</w:t>
      </w:r>
      <w:r>
        <w:rPr>
          <w:rFonts w:ascii="Georgia" w:hAnsi="Georgia" w:cs="Times New Roman"/>
          <w:bCs/>
          <w:sz w:val="23"/>
          <w:szCs w:val="23"/>
          <w:lang w:val="id-ID"/>
        </w:rPr>
        <w:t>.</w:t>
      </w:r>
    </w:p>
    <w:p w14:paraId="6AA86DF6" w14:textId="4981E617" w:rsidR="00834272" w:rsidRDefault="00834272" w:rsidP="00FE6F5A">
      <w:pPr>
        <w:spacing w:after="0" w:line="240" w:lineRule="auto"/>
        <w:jc w:val="both"/>
        <w:rPr>
          <w:rFonts w:ascii="Georgia" w:hAnsi="Georgia" w:cs="Times New Roman"/>
          <w:b/>
          <w:sz w:val="23"/>
          <w:szCs w:val="23"/>
          <w:lang w:val="id-ID"/>
        </w:rPr>
      </w:pPr>
      <w:r w:rsidRPr="00834272">
        <w:rPr>
          <w:rFonts w:ascii="Georgia" w:hAnsi="Georgia" w:cs="Times New Roman"/>
          <w:b/>
          <w:sz w:val="23"/>
          <w:szCs w:val="23"/>
          <w:lang w:val="id-ID"/>
        </w:rPr>
        <w:t>VCO Dosage</w:t>
      </w:r>
    </w:p>
    <w:p w14:paraId="1764ECDB" w14:textId="2D0F3A4E" w:rsidR="00834272" w:rsidRDefault="00834272" w:rsidP="00FE6F5A">
      <w:pPr>
        <w:spacing w:after="0" w:line="240" w:lineRule="auto"/>
        <w:jc w:val="both"/>
        <w:rPr>
          <w:rFonts w:ascii="Georgia" w:hAnsi="Georgia" w:cs="Times New Roman"/>
          <w:bCs/>
          <w:sz w:val="23"/>
          <w:szCs w:val="23"/>
          <w:lang w:val="id-ID"/>
        </w:rPr>
      </w:pPr>
      <w:r w:rsidRPr="00834272">
        <w:rPr>
          <w:rFonts w:ascii="Georgia" w:hAnsi="Georgia" w:cs="Times New Roman"/>
          <w:bCs/>
          <w:sz w:val="23"/>
          <w:szCs w:val="23"/>
          <w:lang w:val="id-ID"/>
        </w:rPr>
        <w:t>The recommended dose of VCO is 2.5-3 tablespoons 3 times a day or equivalent to 37.5 - 45 mL /day for adults with a body weight of 45-67 kg and 50 mL for adults with a body weight of 70 kg. The optimal dose if converted provided that : human 70 kg equivalent to rat 200 gr is 0.018. The  doses of VCO given in this study were 50 mL x 0.018 = 0.9 mL /200 g BB (optimal dose) and 25 mL x 0.018 = 0.45 mL /200 gr BB (moderate dose) for 14 days</w:t>
      </w:r>
      <w:r w:rsidR="00332324">
        <w:rPr>
          <w:rFonts w:ascii="Georgia" w:hAnsi="Georgia" w:cs="Times New Roman"/>
          <w:bCs/>
          <w:sz w:val="23"/>
          <w:szCs w:val="23"/>
          <w:lang w:val="id-ID"/>
        </w:rPr>
        <w:t xml:space="preserve"> </w:t>
      </w:r>
      <w:r w:rsidR="00332324">
        <w:rPr>
          <w:rFonts w:ascii="Georgia" w:hAnsi="Georgia" w:cs="Times New Roman"/>
          <w:bCs/>
          <w:sz w:val="23"/>
          <w:szCs w:val="23"/>
          <w:lang w:val="id-ID"/>
        </w:rPr>
        <w:fldChar w:fldCharType="begin" w:fldLock="1"/>
      </w:r>
      <w:r w:rsidR="00F6740F">
        <w:rPr>
          <w:rFonts w:ascii="Georgia" w:hAnsi="Georgia" w:cs="Times New Roman"/>
          <w:bCs/>
          <w:sz w:val="23"/>
          <w:szCs w:val="23"/>
          <w:lang w:val="id-ID"/>
        </w:rPr>
        <w:instrText>ADDIN CSL_CITATION {"citationItems":[{"id":"ITEM-1","itemData":{"DOI":"10.5487/TR.2016.32.4.317","ISSN":"22342753","abstract":"Increased access to highly active antiretroviral therapy (HAART) has made the management of drug toxicities an increasingly crucial component of HIV. This study investigated the effects of adjuvant use of coconut oil and HAART on testicular morphology and seminal parameters in Sprague- Dawley rats. Twelve adult male Sprague-Dawley rats, weighing 153~169 g were distributed into four groups (A-D) and treated as follows: A served as control (distilled water); B (HAART cocktail- Zidovudine, Lamivudine and Nevirapine); C (HAART + Virgin coconut oil 10 mL/kg) and D (Virgin coconut oil 10 mL/kg). After 56 days of treatment, animals were killed and laparotomy to exercise the epididymis for seminal fluid analyses done whilst testicular tissues were processed for histo-morphometric studies. Result showed a significant decline in sperm motility (P &lt; 0.05) and count (P &lt; 0.0001) in HAART-treated animals while there was insignificant changes in other parameters in groups C and D except count that was reduced (P &lt; 0.0001) when compared with controls. Histomorphological studies showed HAART caused disorders in seminiferous tubular architecture with significant (P &lt; 0.01) decline in epithelial height closely mirrored by extensive reticulin framework and positive PAS cells. Adjuvant Virgin coconut oil + HAART resulted in significant decrease in seminiferous tubular diameter (P &lt; 0.05), but other morphometric and histological parameters were similar to control or Virgin coconut oil alone (which showed normal histoarchitecture levels). While derangements in testicular and seminal fluid parameters occurred following HAART, adjuvant treatment with Virgin coconut oil restored the distortions emanating thereof.","author":[{"dropping-particle":"","family":"Ogedengbe","given":"Oluwatosin O.","non-dropping-particle":"","parse-names":false,"suffix":""},{"dropping-particle":"","family":"Jegede","given":"Ayoola I.","non-dropping-particle":"","parse-names":false,"suffix":""},{"dropping-particle":"","family":"Onanuga","given":"Ismail O.","non-dropping-particle":"","parse-names":false,"suffix":""},{"dropping-particle":"","family":"Offor","given":"Ugochukwu","non-dropping-particle":"","parse-names":false,"suffix":""},{"dropping-particle":"","family":"Naidu","given":"Edwin C.S.","non-dropping-particle":"","parse-names":false,"suffix":""},{"dropping-particle":"","family":"Peter","given":"Aniekan I.","non-dropping-particle":"","parse-names":false,"suffix":""},{"dropping-particle":"","family":"Azu","given":"Onyemaechi O.","non-dropping-particle":"","parse-names":false,"suffix":""}],"container-title":"Toxicological Research","id":"ITEM-1","issue":"4","issued":{"date-parts":[["2016"]]},"page":"317-325","title":"Coconut oil extract mitigates testicular injury following adjuvant treatment with antiretroviral drugs","type":"article-journal","volume":"32"},"uris":["http://www.mendeley.com/documents/?uuid=e56ee73e-964c-4dfe-b473-16a48b808aea"]}],"mendeley":{"formattedCitation":"(Ogedengbe et al., 2016)","plainTextFormattedCitation":"(Ogedengbe et al., 2016)","previouslyFormattedCitation":"(Ogedengbe et al., 2016)"},"properties":{"noteIndex":0},"schema":"https://github.com/citation-style-language/schema/raw/master/csl-citation.json"}</w:instrText>
      </w:r>
      <w:r w:rsidR="00332324">
        <w:rPr>
          <w:rFonts w:ascii="Georgia" w:hAnsi="Georgia" w:cs="Times New Roman"/>
          <w:bCs/>
          <w:sz w:val="23"/>
          <w:szCs w:val="23"/>
          <w:lang w:val="id-ID"/>
        </w:rPr>
        <w:fldChar w:fldCharType="separate"/>
      </w:r>
      <w:r w:rsidR="00332324" w:rsidRPr="00332324">
        <w:rPr>
          <w:rFonts w:ascii="Georgia" w:hAnsi="Georgia" w:cs="Times New Roman"/>
          <w:bCs/>
          <w:noProof/>
          <w:sz w:val="23"/>
          <w:szCs w:val="23"/>
          <w:lang w:val="id-ID"/>
        </w:rPr>
        <w:t>(Ogedengbe et al., 2016)</w:t>
      </w:r>
      <w:r w:rsidR="00332324">
        <w:rPr>
          <w:rFonts w:ascii="Georgia" w:hAnsi="Georgia" w:cs="Times New Roman"/>
          <w:bCs/>
          <w:sz w:val="23"/>
          <w:szCs w:val="23"/>
          <w:lang w:val="id-ID"/>
        </w:rPr>
        <w:fldChar w:fldCharType="end"/>
      </w:r>
      <w:r w:rsidR="00332324">
        <w:rPr>
          <w:rFonts w:ascii="Georgia" w:hAnsi="Georgia" w:cs="Times New Roman"/>
          <w:bCs/>
          <w:sz w:val="23"/>
          <w:szCs w:val="23"/>
          <w:lang w:val="id-ID"/>
        </w:rPr>
        <w:t>.</w:t>
      </w:r>
    </w:p>
    <w:p w14:paraId="7B947915" w14:textId="68A3CF51" w:rsidR="00332324" w:rsidRDefault="00332324" w:rsidP="00FE6F5A">
      <w:pPr>
        <w:spacing w:after="0" w:line="240" w:lineRule="auto"/>
        <w:jc w:val="both"/>
        <w:rPr>
          <w:rFonts w:ascii="Georgia" w:hAnsi="Georgia" w:cs="Times New Roman"/>
          <w:b/>
          <w:sz w:val="23"/>
          <w:szCs w:val="23"/>
          <w:lang w:val="id-ID"/>
        </w:rPr>
      </w:pPr>
      <w:r w:rsidRPr="00332324">
        <w:rPr>
          <w:rFonts w:ascii="Georgia" w:hAnsi="Georgia" w:cs="Times New Roman"/>
          <w:b/>
          <w:sz w:val="23"/>
          <w:szCs w:val="23"/>
          <w:lang w:val="id-ID"/>
        </w:rPr>
        <w:t>High Cholesterol Diet Feeding</w:t>
      </w:r>
    </w:p>
    <w:p w14:paraId="6F554DEF" w14:textId="04367B11" w:rsidR="00332324" w:rsidRDefault="00332324" w:rsidP="00FE6F5A">
      <w:pPr>
        <w:spacing w:after="0" w:line="240" w:lineRule="auto"/>
        <w:jc w:val="both"/>
        <w:rPr>
          <w:rFonts w:ascii="Georgia" w:hAnsi="Georgia" w:cs="Times New Roman"/>
          <w:bCs/>
          <w:sz w:val="23"/>
          <w:szCs w:val="23"/>
          <w:lang w:val="id-ID"/>
        </w:rPr>
      </w:pPr>
      <w:r w:rsidRPr="00332324">
        <w:rPr>
          <w:rFonts w:ascii="Georgia" w:hAnsi="Georgia" w:cs="Times New Roman"/>
          <w:bCs/>
          <w:sz w:val="23"/>
          <w:szCs w:val="23"/>
          <w:lang w:val="id-ID"/>
        </w:rPr>
        <w:t>Feeding experimental animals hypercholesterolmya using quail egg yolk is given as much as 4 mL perorally for 7 days.  quail egg yolks contain cholesterol as much as 2,139.17mg / 100g, the cholesterol content is higher than other foodstuffs</w:t>
      </w:r>
      <w:r>
        <w:rPr>
          <w:rFonts w:ascii="Georgia" w:hAnsi="Georgia" w:cs="Times New Roman"/>
          <w:bCs/>
          <w:sz w:val="23"/>
          <w:szCs w:val="23"/>
          <w:lang w:val="id-ID"/>
        </w:rPr>
        <w:t>.</w:t>
      </w:r>
      <w:r w:rsidR="00F6740F">
        <w:rPr>
          <w:rFonts w:ascii="Georgia" w:hAnsi="Georgia" w:cs="Times New Roman"/>
          <w:bCs/>
          <w:sz w:val="23"/>
          <w:szCs w:val="23"/>
          <w:lang w:val="id-ID"/>
        </w:rPr>
        <w:t xml:space="preserve"> </w:t>
      </w:r>
    </w:p>
    <w:p w14:paraId="391BF7F2" w14:textId="1F9FAE27" w:rsidR="00D312B9" w:rsidRDefault="00D312B9" w:rsidP="00FE6F5A">
      <w:pPr>
        <w:spacing w:after="0" w:line="240" w:lineRule="auto"/>
        <w:jc w:val="both"/>
        <w:rPr>
          <w:rFonts w:ascii="Georgia" w:hAnsi="Georgia" w:cs="Times New Roman"/>
          <w:b/>
          <w:sz w:val="23"/>
          <w:szCs w:val="23"/>
          <w:lang w:val="id-ID"/>
        </w:rPr>
      </w:pPr>
      <w:r w:rsidRPr="00D312B9">
        <w:rPr>
          <w:rFonts w:ascii="Georgia" w:hAnsi="Georgia" w:cs="Times New Roman"/>
          <w:b/>
          <w:sz w:val="23"/>
          <w:szCs w:val="23"/>
          <w:lang w:val="id-ID"/>
        </w:rPr>
        <w:t>Place and Time of Research</w:t>
      </w:r>
    </w:p>
    <w:p w14:paraId="4BE8E370" w14:textId="215A4591" w:rsidR="00D312B9" w:rsidRDefault="00D312B9" w:rsidP="00FE6F5A">
      <w:pPr>
        <w:spacing w:after="0" w:line="240" w:lineRule="auto"/>
        <w:jc w:val="both"/>
        <w:rPr>
          <w:rFonts w:ascii="Georgia" w:hAnsi="Georgia" w:cs="Times New Roman"/>
          <w:bCs/>
          <w:sz w:val="23"/>
          <w:szCs w:val="23"/>
          <w:lang w:val="id-ID"/>
        </w:rPr>
      </w:pPr>
      <w:r w:rsidRPr="00D312B9">
        <w:rPr>
          <w:rFonts w:ascii="Georgia" w:hAnsi="Georgia" w:cs="Times New Roman"/>
          <w:bCs/>
          <w:sz w:val="23"/>
          <w:szCs w:val="23"/>
          <w:lang w:val="id-ID"/>
        </w:rPr>
        <w:t>Research using male Wistar rats was conducted at the PSPG UGM Nutrition Laboratory, the examination of HDL, LDL, and IL-6 levels was carried out at the PSPG UGM Nutrition Laboratory</w:t>
      </w:r>
      <w:r>
        <w:rPr>
          <w:rFonts w:ascii="Georgia" w:hAnsi="Georgia" w:cs="Times New Roman"/>
          <w:bCs/>
          <w:sz w:val="23"/>
          <w:szCs w:val="23"/>
          <w:lang w:val="id-ID"/>
        </w:rPr>
        <w:t>.</w:t>
      </w:r>
    </w:p>
    <w:p w14:paraId="1F2B8719" w14:textId="71F8FBA6" w:rsidR="00D312B9" w:rsidRDefault="00D312B9" w:rsidP="00FE6F5A">
      <w:pPr>
        <w:spacing w:after="0" w:line="240" w:lineRule="auto"/>
        <w:jc w:val="both"/>
        <w:rPr>
          <w:rFonts w:ascii="Georgia" w:hAnsi="Georgia" w:cs="Times New Roman"/>
          <w:b/>
          <w:sz w:val="23"/>
          <w:szCs w:val="23"/>
          <w:lang w:val="id-ID"/>
        </w:rPr>
      </w:pPr>
      <w:r w:rsidRPr="00D312B9">
        <w:rPr>
          <w:rFonts w:ascii="Georgia" w:hAnsi="Georgia" w:cs="Times New Roman"/>
          <w:b/>
          <w:sz w:val="23"/>
          <w:szCs w:val="23"/>
          <w:lang w:val="id-ID"/>
        </w:rPr>
        <w:t>Data Analysis</w:t>
      </w:r>
    </w:p>
    <w:p w14:paraId="77DB0444" w14:textId="45CCFC96" w:rsidR="00D312B9" w:rsidRDefault="00D312B9" w:rsidP="00FE6F5A">
      <w:pPr>
        <w:spacing w:after="0" w:line="240" w:lineRule="auto"/>
        <w:jc w:val="both"/>
        <w:rPr>
          <w:rFonts w:ascii="Georgia" w:hAnsi="Georgia" w:cs="Times New Roman"/>
          <w:bCs/>
          <w:sz w:val="23"/>
          <w:szCs w:val="23"/>
          <w:lang w:val="id-ID"/>
        </w:rPr>
      </w:pPr>
      <w:r w:rsidRPr="00D312B9">
        <w:rPr>
          <w:rFonts w:ascii="Georgia" w:hAnsi="Georgia" w:cs="Times New Roman"/>
          <w:bCs/>
          <w:sz w:val="23"/>
          <w:szCs w:val="23"/>
          <w:lang w:val="id-ID"/>
        </w:rPr>
        <w:t>The average data on HDL, LDL, and IL-6 levels are presented descriptively in the form of tables and graphs. Then the data in the normality test with the Shapiro Wilk test and the data homogeneity test with the Levene test. The distribution of HDL, LDL, and IL-6 cholesterol cholesterol levels data obtained normal and homogeneous results, so continued using the One Way Anova test, p&lt;0.05 values were obtained followed by the Post Hoc test with the Tukey test.</w:t>
      </w:r>
    </w:p>
    <w:p w14:paraId="6402DA8F" w14:textId="5D1FFB98" w:rsidR="00D312B9" w:rsidRDefault="00D312B9" w:rsidP="00FE6F5A">
      <w:pPr>
        <w:spacing w:after="0" w:line="240" w:lineRule="auto"/>
        <w:jc w:val="both"/>
        <w:rPr>
          <w:rFonts w:ascii="Georgia" w:hAnsi="Georgia" w:cs="Times New Roman"/>
          <w:b/>
          <w:sz w:val="23"/>
          <w:szCs w:val="23"/>
          <w:lang w:val="id-ID"/>
        </w:rPr>
      </w:pPr>
      <w:r w:rsidRPr="007634DA">
        <w:rPr>
          <w:rFonts w:ascii="Georgia" w:hAnsi="Georgia" w:cs="Times New Roman"/>
          <w:b/>
          <w:sz w:val="23"/>
          <w:szCs w:val="23"/>
          <w:lang w:val="id-ID"/>
        </w:rPr>
        <w:t>3. Result</w:t>
      </w:r>
    </w:p>
    <w:p w14:paraId="62F1EDB4" w14:textId="1FC8F57B" w:rsidR="007634DA" w:rsidRDefault="007634DA" w:rsidP="00FE6F5A">
      <w:pPr>
        <w:spacing w:after="0" w:line="240" w:lineRule="auto"/>
        <w:jc w:val="both"/>
        <w:rPr>
          <w:rFonts w:ascii="Georgia" w:hAnsi="Georgia" w:cs="Times New Roman"/>
          <w:bCs/>
          <w:sz w:val="23"/>
          <w:szCs w:val="23"/>
          <w:lang w:val="id-ID"/>
        </w:rPr>
      </w:pPr>
      <w:r w:rsidRPr="007634DA">
        <w:rPr>
          <w:rFonts w:ascii="Georgia" w:hAnsi="Georgia" w:cs="Times New Roman"/>
          <w:bCs/>
          <w:sz w:val="23"/>
          <w:szCs w:val="23"/>
          <w:lang w:val="id-ID"/>
        </w:rPr>
        <w:t xml:space="preserve">Research on the administration of Virgin Coconut Oil to HDL, LDL, and interleukin-6 (IL-6) cholesterol levels in male wistar strain rats with hypercholesterol has been carried out for 21 days. The results of the study are listed in table </w:t>
      </w:r>
      <w:r>
        <w:rPr>
          <w:rFonts w:ascii="Georgia" w:hAnsi="Georgia" w:cs="Times New Roman"/>
          <w:bCs/>
          <w:sz w:val="23"/>
          <w:szCs w:val="23"/>
          <w:lang w:val="id-ID"/>
        </w:rPr>
        <w:t>1</w:t>
      </w:r>
      <w:r w:rsidRPr="007634DA">
        <w:rPr>
          <w:rFonts w:ascii="Georgia" w:hAnsi="Georgia" w:cs="Times New Roman"/>
          <w:bCs/>
          <w:sz w:val="23"/>
          <w:szCs w:val="23"/>
          <w:lang w:val="id-ID"/>
        </w:rPr>
        <w:t>. The results of the analysis of the average HDL, LDL, and IL-6 cholesterol levels after treatment are listed in table 1</w:t>
      </w:r>
      <w:r>
        <w:rPr>
          <w:rFonts w:ascii="Georgia" w:hAnsi="Georgia" w:cs="Times New Roman"/>
          <w:bCs/>
          <w:sz w:val="23"/>
          <w:szCs w:val="23"/>
          <w:lang w:val="id-ID"/>
        </w:rPr>
        <w:t xml:space="preserve">. </w:t>
      </w:r>
    </w:p>
    <w:p w14:paraId="7B7E24BB" w14:textId="77777777" w:rsidR="00076A70" w:rsidRDefault="00076A70" w:rsidP="00FE6F5A">
      <w:pPr>
        <w:spacing w:after="0" w:line="240" w:lineRule="auto"/>
        <w:jc w:val="both"/>
        <w:rPr>
          <w:rFonts w:ascii="Georgia" w:hAnsi="Georgia" w:cs="Times New Roman"/>
          <w:bCs/>
          <w:sz w:val="23"/>
          <w:szCs w:val="23"/>
          <w:lang w:val="id-ID"/>
        </w:rPr>
      </w:pPr>
    </w:p>
    <w:p w14:paraId="4B64B13C" w14:textId="34EB373A" w:rsidR="00194A7A" w:rsidRDefault="00194A7A" w:rsidP="00FE6F5A">
      <w:pPr>
        <w:spacing w:after="0" w:line="240" w:lineRule="auto"/>
        <w:jc w:val="both"/>
        <w:rPr>
          <w:rFonts w:ascii="Georgia" w:hAnsi="Georgia" w:cs="Times New Roman"/>
          <w:bCs/>
          <w:sz w:val="23"/>
          <w:szCs w:val="23"/>
          <w:lang w:val="id-ID"/>
        </w:rPr>
      </w:pPr>
      <w:r>
        <w:rPr>
          <w:rFonts w:ascii="Georgia" w:hAnsi="Georgia" w:cs="Times New Roman"/>
          <w:bCs/>
          <w:sz w:val="23"/>
          <w:szCs w:val="23"/>
          <w:lang w:val="id-ID"/>
        </w:rPr>
        <w:t xml:space="preserve">Table.1 </w:t>
      </w:r>
      <w:r w:rsidRPr="00194A7A">
        <w:rPr>
          <w:rFonts w:ascii="Georgia" w:hAnsi="Georgia" w:cs="Times New Roman"/>
          <w:bCs/>
          <w:sz w:val="23"/>
          <w:szCs w:val="23"/>
          <w:lang w:val="id-ID"/>
        </w:rPr>
        <w:t>Results of the analysis of average HDL, LDL, and IL-6 cholesterol levels</w:t>
      </w:r>
    </w:p>
    <w:tbl>
      <w:tblPr>
        <w:tblW w:w="0" w:type="auto"/>
        <w:tblInd w:w="546" w:type="dxa"/>
        <w:tblLayout w:type="fixed"/>
        <w:tblCellMar>
          <w:left w:w="0" w:type="dxa"/>
          <w:right w:w="0" w:type="dxa"/>
        </w:tblCellMar>
        <w:tblLook w:val="01E0" w:firstRow="1" w:lastRow="1" w:firstColumn="1" w:lastColumn="1" w:noHBand="0" w:noVBand="0"/>
      </w:tblPr>
      <w:tblGrid>
        <w:gridCol w:w="2260"/>
        <w:gridCol w:w="1196"/>
        <w:gridCol w:w="1146"/>
        <w:gridCol w:w="1155"/>
        <w:gridCol w:w="1148"/>
        <w:gridCol w:w="1330"/>
      </w:tblGrid>
      <w:tr w:rsidR="00194A7A" w14:paraId="029AFAF6" w14:textId="77777777" w:rsidTr="00AE23D3">
        <w:trPr>
          <w:trHeight w:val="230"/>
        </w:trPr>
        <w:tc>
          <w:tcPr>
            <w:tcW w:w="8235" w:type="dxa"/>
            <w:gridSpan w:val="6"/>
            <w:tcBorders>
              <w:top w:val="single" w:sz="4" w:space="0" w:color="000000"/>
            </w:tcBorders>
          </w:tcPr>
          <w:p w14:paraId="0F45C4C9" w14:textId="7046EA41" w:rsidR="00194A7A" w:rsidRPr="00683056" w:rsidRDefault="00683056" w:rsidP="00FE6F5A">
            <w:pPr>
              <w:pStyle w:val="TableParagraph"/>
              <w:ind w:left="4056" w:right="3249"/>
              <w:jc w:val="center"/>
              <w:rPr>
                <w:b/>
                <w:sz w:val="20"/>
                <w:lang w:val="id-ID"/>
              </w:rPr>
            </w:pPr>
            <w:r>
              <w:rPr>
                <w:b/>
                <w:sz w:val="20"/>
                <w:lang w:val="id-ID"/>
              </w:rPr>
              <w:t>Group</w:t>
            </w:r>
          </w:p>
        </w:tc>
      </w:tr>
      <w:tr w:rsidR="00194A7A" w14:paraId="499D2719" w14:textId="77777777" w:rsidTr="00AE23D3">
        <w:trPr>
          <w:trHeight w:val="464"/>
        </w:trPr>
        <w:tc>
          <w:tcPr>
            <w:tcW w:w="2260" w:type="dxa"/>
          </w:tcPr>
          <w:p w14:paraId="0E9A5BBA" w14:textId="04134A9A" w:rsidR="00194A7A" w:rsidRPr="00683056" w:rsidRDefault="00194A7A" w:rsidP="00FE6F5A">
            <w:pPr>
              <w:pStyle w:val="TableParagraph"/>
              <w:ind w:left="761"/>
              <w:jc w:val="left"/>
              <w:rPr>
                <w:b/>
                <w:sz w:val="20"/>
                <w:lang w:val="id-ID"/>
              </w:rPr>
            </w:pPr>
            <w:r>
              <w:rPr>
                <w:b/>
                <w:sz w:val="20"/>
              </w:rPr>
              <w:t>Variab</w:t>
            </w:r>
            <w:r w:rsidR="00683056">
              <w:rPr>
                <w:b/>
                <w:sz w:val="20"/>
                <w:lang w:val="id-ID"/>
              </w:rPr>
              <w:t>le</w:t>
            </w:r>
          </w:p>
        </w:tc>
        <w:tc>
          <w:tcPr>
            <w:tcW w:w="1196" w:type="dxa"/>
            <w:tcBorders>
              <w:top w:val="single" w:sz="4" w:space="0" w:color="000000"/>
            </w:tcBorders>
          </w:tcPr>
          <w:p w14:paraId="52BDB66E" w14:textId="77777777" w:rsidR="00194A7A" w:rsidRDefault="00194A7A" w:rsidP="00FE6F5A">
            <w:pPr>
              <w:pStyle w:val="TableParagraph"/>
              <w:ind w:left="450" w:right="367" w:firstLine="52"/>
              <w:jc w:val="left"/>
              <w:rPr>
                <w:b/>
                <w:sz w:val="20"/>
              </w:rPr>
            </w:pPr>
            <w:r>
              <w:rPr>
                <w:b/>
                <w:sz w:val="20"/>
              </w:rPr>
              <w:t>K0</w:t>
            </w:r>
            <w:r>
              <w:rPr>
                <w:b/>
                <w:spacing w:val="1"/>
                <w:sz w:val="20"/>
              </w:rPr>
              <w:t xml:space="preserve"> </w:t>
            </w:r>
            <w:r>
              <w:rPr>
                <w:b/>
                <w:sz w:val="20"/>
              </w:rPr>
              <w:t>N=6</w:t>
            </w:r>
          </w:p>
        </w:tc>
        <w:tc>
          <w:tcPr>
            <w:tcW w:w="1146" w:type="dxa"/>
            <w:tcBorders>
              <w:top w:val="single" w:sz="4" w:space="0" w:color="000000"/>
            </w:tcBorders>
          </w:tcPr>
          <w:p w14:paraId="530C6BDB" w14:textId="77777777" w:rsidR="00194A7A" w:rsidRDefault="00194A7A" w:rsidP="00FE6F5A">
            <w:pPr>
              <w:pStyle w:val="TableParagraph"/>
              <w:ind w:left="378" w:right="389" w:firstLine="52"/>
              <w:jc w:val="left"/>
              <w:rPr>
                <w:b/>
                <w:sz w:val="20"/>
              </w:rPr>
            </w:pPr>
            <w:r>
              <w:rPr>
                <w:b/>
                <w:sz w:val="20"/>
              </w:rPr>
              <w:t>K1</w:t>
            </w:r>
            <w:r>
              <w:rPr>
                <w:b/>
                <w:spacing w:val="1"/>
                <w:sz w:val="20"/>
              </w:rPr>
              <w:t xml:space="preserve"> </w:t>
            </w:r>
            <w:r>
              <w:rPr>
                <w:b/>
                <w:sz w:val="20"/>
              </w:rPr>
              <w:t>N=6</w:t>
            </w:r>
          </w:p>
        </w:tc>
        <w:tc>
          <w:tcPr>
            <w:tcW w:w="1155" w:type="dxa"/>
            <w:tcBorders>
              <w:top w:val="single" w:sz="4" w:space="0" w:color="000000"/>
            </w:tcBorders>
          </w:tcPr>
          <w:p w14:paraId="1E929EDB" w14:textId="77777777" w:rsidR="00194A7A" w:rsidRDefault="00194A7A" w:rsidP="00FE6F5A">
            <w:pPr>
              <w:pStyle w:val="TableParagraph"/>
              <w:ind w:left="399" w:right="394" w:firstLine="1"/>
              <w:jc w:val="center"/>
              <w:rPr>
                <w:b/>
                <w:sz w:val="20"/>
              </w:rPr>
            </w:pPr>
            <w:r>
              <w:rPr>
                <w:b/>
                <w:sz w:val="20"/>
              </w:rPr>
              <w:t>P1</w:t>
            </w:r>
            <w:r>
              <w:rPr>
                <w:b/>
                <w:spacing w:val="1"/>
                <w:sz w:val="20"/>
              </w:rPr>
              <w:t xml:space="preserve"> </w:t>
            </w:r>
            <w:r>
              <w:rPr>
                <w:b/>
                <w:sz w:val="20"/>
              </w:rPr>
              <w:t>N=6</w:t>
            </w:r>
          </w:p>
        </w:tc>
        <w:tc>
          <w:tcPr>
            <w:tcW w:w="1148" w:type="dxa"/>
            <w:tcBorders>
              <w:top w:val="single" w:sz="4" w:space="0" w:color="000000"/>
            </w:tcBorders>
          </w:tcPr>
          <w:p w14:paraId="79E4F96B" w14:textId="77777777" w:rsidR="00194A7A" w:rsidRDefault="00194A7A" w:rsidP="00FE6F5A">
            <w:pPr>
              <w:pStyle w:val="TableParagraph"/>
              <w:ind w:left="387" w:right="399" w:firstLine="1"/>
              <w:jc w:val="center"/>
              <w:rPr>
                <w:b/>
                <w:sz w:val="20"/>
              </w:rPr>
            </w:pPr>
            <w:r>
              <w:rPr>
                <w:b/>
                <w:sz w:val="20"/>
              </w:rPr>
              <w:t>P2</w:t>
            </w:r>
            <w:r>
              <w:rPr>
                <w:b/>
                <w:spacing w:val="1"/>
                <w:sz w:val="20"/>
              </w:rPr>
              <w:t xml:space="preserve"> </w:t>
            </w:r>
            <w:r>
              <w:rPr>
                <w:b/>
                <w:sz w:val="20"/>
              </w:rPr>
              <w:t>N=6</w:t>
            </w:r>
          </w:p>
        </w:tc>
        <w:tc>
          <w:tcPr>
            <w:tcW w:w="1330" w:type="dxa"/>
            <w:tcBorders>
              <w:top w:val="single" w:sz="4" w:space="0" w:color="000000"/>
            </w:tcBorders>
          </w:tcPr>
          <w:p w14:paraId="6041711C" w14:textId="77777777" w:rsidR="00194A7A" w:rsidRDefault="00194A7A" w:rsidP="00FE6F5A">
            <w:pPr>
              <w:pStyle w:val="TableParagraph"/>
              <w:ind w:right="437"/>
              <w:rPr>
                <w:b/>
                <w:sz w:val="20"/>
              </w:rPr>
            </w:pPr>
            <w:r>
              <w:rPr>
                <w:b/>
                <w:sz w:val="20"/>
              </w:rPr>
              <w:t>Sig.(p)</w:t>
            </w:r>
          </w:p>
        </w:tc>
      </w:tr>
      <w:tr w:rsidR="00194A7A" w14:paraId="7A8E2531" w14:textId="77777777" w:rsidTr="00AE23D3">
        <w:trPr>
          <w:trHeight w:val="226"/>
        </w:trPr>
        <w:tc>
          <w:tcPr>
            <w:tcW w:w="2260" w:type="dxa"/>
            <w:tcBorders>
              <w:bottom w:val="single" w:sz="4" w:space="0" w:color="000000"/>
            </w:tcBorders>
          </w:tcPr>
          <w:p w14:paraId="2CF1C173" w14:textId="77777777" w:rsidR="00194A7A" w:rsidRDefault="00194A7A" w:rsidP="00FE6F5A">
            <w:pPr>
              <w:pStyle w:val="TableParagraph"/>
              <w:jc w:val="left"/>
              <w:rPr>
                <w:sz w:val="16"/>
              </w:rPr>
            </w:pPr>
          </w:p>
        </w:tc>
        <w:tc>
          <w:tcPr>
            <w:tcW w:w="1196" w:type="dxa"/>
            <w:tcBorders>
              <w:bottom w:val="single" w:sz="4" w:space="0" w:color="000000"/>
            </w:tcBorders>
          </w:tcPr>
          <w:p w14:paraId="51972AAC" w14:textId="77777777" w:rsidR="00194A7A" w:rsidRDefault="00194A7A" w:rsidP="00FE6F5A">
            <w:pPr>
              <w:pStyle w:val="TableParagraph"/>
              <w:ind w:right="314"/>
              <w:rPr>
                <w:b/>
                <w:sz w:val="20"/>
              </w:rPr>
            </w:pPr>
            <w:r>
              <w:rPr>
                <w:b/>
                <w:sz w:val="20"/>
              </w:rPr>
              <w:t>Mean</w:t>
            </w:r>
          </w:p>
        </w:tc>
        <w:tc>
          <w:tcPr>
            <w:tcW w:w="1146" w:type="dxa"/>
            <w:tcBorders>
              <w:bottom w:val="single" w:sz="4" w:space="0" w:color="000000"/>
            </w:tcBorders>
          </w:tcPr>
          <w:p w14:paraId="2F4CF6C8" w14:textId="77777777" w:rsidR="00194A7A" w:rsidRDefault="00194A7A" w:rsidP="00FE6F5A">
            <w:pPr>
              <w:pStyle w:val="TableParagraph"/>
              <w:ind w:right="337"/>
              <w:rPr>
                <w:b/>
                <w:sz w:val="20"/>
              </w:rPr>
            </w:pPr>
            <w:r>
              <w:rPr>
                <w:b/>
                <w:sz w:val="20"/>
              </w:rPr>
              <w:t>Mean</w:t>
            </w:r>
          </w:p>
        </w:tc>
        <w:tc>
          <w:tcPr>
            <w:tcW w:w="1155" w:type="dxa"/>
            <w:tcBorders>
              <w:bottom w:val="single" w:sz="4" w:space="0" w:color="000000"/>
            </w:tcBorders>
          </w:tcPr>
          <w:p w14:paraId="36A41885" w14:textId="77777777" w:rsidR="00194A7A" w:rsidRDefault="00194A7A" w:rsidP="00FE6F5A">
            <w:pPr>
              <w:pStyle w:val="TableParagraph"/>
              <w:ind w:left="286" w:right="272"/>
              <w:jc w:val="center"/>
              <w:rPr>
                <w:b/>
                <w:sz w:val="20"/>
              </w:rPr>
            </w:pPr>
            <w:r>
              <w:rPr>
                <w:b/>
                <w:sz w:val="20"/>
              </w:rPr>
              <w:t>Mean</w:t>
            </w:r>
          </w:p>
        </w:tc>
        <w:tc>
          <w:tcPr>
            <w:tcW w:w="1148" w:type="dxa"/>
            <w:tcBorders>
              <w:bottom w:val="single" w:sz="4" w:space="0" w:color="000000"/>
            </w:tcBorders>
          </w:tcPr>
          <w:p w14:paraId="504D7331" w14:textId="77777777" w:rsidR="00194A7A" w:rsidRDefault="00194A7A" w:rsidP="00FE6F5A">
            <w:pPr>
              <w:pStyle w:val="TableParagraph"/>
              <w:ind w:right="326"/>
              <w:rPr>
                <w:b/>
                <w:sz w:val="20"/>
              </w:rPr>
            </w:pPr>
            <w:r>
              <w:rPr>
                <w:b/>
                <w:sz w:val="20"/>
              </w:rPr>
              <w:t>Mean</w:t>
            </w:r>
          </w:p>
        </w:tc>
        <w:tc>
          <w:tcPr>
            <w:tcW w:w="1330" w:type="dxa"/>
            <w:tcBorders>
              <w:bottom w:val="single" w:sz="4" w:space="0" w:color="000000"/>
            </w:tcBorders>
          </w:tcPr>
          <w:p w14:paraId="46490694" w14:textId="77777777" w:rsidR="00194A7A" w:rsidRDefault="00194A7A" w:rsidP="00FE6F5A">
            <w:pPr>
              <w:pStyle w:val="TableParagraph"/>
              <w:jc w:val="left"/>
              <w:rPr>
                <w:sz w:val="16"/>
              </w:rPr>
            </w:pPr>
          </w:p>
        </w:tc>
      </w:tr>
      <w:tr w:rsidR="00194A7A" w14:paraId="6AE926C1" w14:textId="77777777" w:rsidTr="00AE23D3">
        <w:trPr>
          <w:trHeight w:val="231"/>
        </w:trPr>
        <w:tc>
          <w:tcPr>
            <w:tcW w:w="2260" w:type="dxa"/>
            <w:tcBorders>
              <w:top w:val="single" w:sz="4" w:space="0" w:color="000000"/>
            </w:tcBorders>
          </w:tcPr>
          <w:p w14:paraId="3A35C94E" w14:textId="77777777" w:rsidR="00194A7A" w:rsidRDefault="00194A7A" w:rsidP="00FE6F5A">
            <w:pPr>
              <w:pStyle w:val="TableParagraph"/>
              <w:ind w:left="117"/>
              <w:jc w:val="left"/>
              <w:rPr>
                <w:b/>
                <w:sz w:val="20"/>
              </w:rPr>
            </w:pPr>
            <w:r>
              <w:rPr>
                <w:b/>
                <w:sz w:val="20"/>
              </w:rPr>
              <w:t>Kadar</w:t>
            </w:r>
            <w:r>
              <w:rPr>
                <w:b/>
                <w:spacing w:val="-1"/>
                <w:sz w:val="20"/>
              </w:rPr>
              <w:t xml:space="preserve"> </w:t>
            </w:r>
            <w:r>
              <w:rPr>
                <w:b/>
                <w:sz w:val="20"/>
              </w:rPr>
              <w:t>HDL</w:t>
            </w:r>
          </w:p>
        </w:tc>
        <w:tc>
          <w:tcPr>
            <w:tcW w:w="1196" w:type="dxa"/>
            <w:tcBorders>
              <w:top w:val="single" w:sz="4" w:space="0" w:color="000000"/>
            </w:tcBorders>
          </w:tcPr>
          <w:p w14:paraId="3C787C98" w14:textId="77777777" w:rsidR="00194A7A" w:rsidRDefault="00194A7A" w:rsidP="00FE6F5A">
            <w:pPr>
              <w:pStyle w:val="TableParagraph"/>
              <w:ind w:right="335"/>
              <w:rPr>
                <w:sz w:val="20"/>
              </w:rPr>
            </w:pPr>
            <w:r>
              <w:rPr>
                <w:sz w:val="20"/>
              </w:rPr>
              <w:t>73.16</w:t>
            </w:r>
          </w:p>
        </w:tc>
        <w:tc>
          <w:tcPr>
            <w:tcW w:w="1146" w:type="dxa"/>
            <w:tcBorders>
              <w:top w:val="single" w:sz="4" w:space="0" w:color="000000"/>
            </w:tcBorders>
          </w:tcPr>
          <w:p w14:paraId="7550A317" w14:textId="77777777" w:rsidR="00194A7A" w:rsidRDefault="00194A7A" w:rsidP="00FE6F5A">
            <w:pPr>
              <w:pStyle w:val="TableParagraph"/>
              <w:ind w:right="357"/>
              <w:rPr>
                <w:sz w:val="20"/>
              </w:rPr>
            </w:pPr>
            <w:r>
              <w:rPr>
                <w:sz w:val="20"/>
              </w:rPr>
              <w:t>24.82</w:t>
            </w:r>
          </w:p>
        </w:tc>
        <w:tc>
          <w:tcPr>
            <w:tcW w:w="1155" w:type="dxa"/>
            <w:tcBorders>
              <w:top w:val="single" w:sz="4" w:space="0" w:color="000000"/>
            </w:tcBorders>
          </w:tcPr>
          <w:p w14:paraId="318D9B53" w14:textId="77777777" w:rsidR="00194A7A" w:rsidRDefault="00194A7A" w:rsidP="00FE6F5A">
            <w:pPr>
              <w:pStyle w:val="TableParagraph"/>
              <w:ind w:left="286" w:right="274"/>
              <w:jc w:val="center"/>
              <w:rPr>
                <w:sz w:val="20"/>
              </w:rPr>
            </w:pPr>
            <w:r>
              <w:rPr>
                <w:sz w:val="20"/>
              </w:rPr>
              <w:t>64.30</w:t>
            </w:r>
          </w:p>
        </w:tc>
        <w:tc>
          <w:tcPr>
            <w:tcW w:w="1148" w:type="dxa"/>
            <w:tcBorders>
              <w:top w:val="single" w:sz="4" w:space="0" w:color="000000"/>
            </w:tcBorders>
          </w:tcPr>
          <w:p w14:paraId="208C7D45" w14:textId="77777777" w:rsidR="00194A7A" w:rsidRDefault="00194A7A" w:rsidP="00FE6F5A">
            <w:pPr>
              <w:pStyle w:val="TableParagraph"/>
              <w:ind w:right="346"/>
              <w:rPr>
                <w:sz w:val="20"/>
              </w:rPr>
            </w:pPr>
            <w:r>
              <w:rPr>
                <w:sz w:val="20"/>
              </w:rPr>
              <w:t>42.07</w:t>
            </w:r>
          </w:p>
        </w:tc>
        <w:tc>
          <w:tcPr>
            <w:tcW w:w="1330" w:type="dxa"/>
            <w:vMerge w:val="restart"/>
            <w:tcBorders>
              <w:top w:val="single" w:sz="4" w:space="0" w:color="000000"/>
            </w:tcBorders>
          </w:tcPr>
          <w:p w14:paraId="48AE89CC" w14:textId="77777777" w:rsidR="00194A7A" w:rsidRDefault="00194A7A" w:rsidP="00FE6F5A">
            <w:pPr>
              <w:pStyle w:val="TableParagraph"/>
              <w:jc w:val="left"/>
              <w:rPr>
                <w:sz w:val="20"/>
              </w:rPr>
            </w:pPr>
          </w:p>
        </w:tc>
      </w:tr>
      <w:tr w:rsidR="00194A7A" w14:paraId="2A24D69D" w14:textId="77777777" w:rsidTr="00AE23D3">
        <w:trPr>
          <w:trHeight w:val="227"/>
        </w:trPr>
        <w:tc>
          <w:tcPr>
            <w:tcW w:w="2260" w:type="dxa"/>
          </w:tcPr>
          <w:p w14:paraId="0D80BD8A" w14:textId="77777777" w:rsidR="00194A7A" w:rsidRDefault="00194A7A" w:rsidP="00FE6F5A">
            <w:pPr>
              <w:pStyle w:val="TableParagraph"/>
              <w:ind w:left="117"/>
              <w:jc w:val="left"/>
              <w:rPr>
                <w:sz w:val="20"/>
              </w:rPr>
            </w:pPr>
            <w:r>
              <w:rPr>
                <w:sz w:val="20"/>
              </w:rPr>
              <w:t>Std.deviasi</w:t>
            </w:r>
          </w:p>
        </w:tc>
        <w:tc>
          <w:tcPr>
            <w:tcW w:w="1196" w:type="dxa"/>
          </w:tcPr>
          <w:p w14:paraId="1EF421B0" w14:textId="77777777" w:rsidR="00194A7A" w:rsidRDefault="00194A7A" w:rsidP="00FE6F5A">
            <w:pPr>
              <w:pStyle w:val="TableParagraph"/>
              <w:ind w:right="335"/>
              <w:rPr>
                <w:sz w:val="20"/>
              </w:rPr>
            </w:pPr>
            <w:r>
              <w:rPr>
                <w:sz w:val="20"/>
              </w:rPr>
              <w:t>1.644</w:t>
            </w:r>
          </w:p>
        </w:tc>
        <w:tc>
          <w:tcPr>
            <w:tcW w:w="1146" w:type="dxa"/>
          </w:tcPr>
          <w:p w14:paraId="16BD2C84" w14:textId="77777777" w:rsidR="00194A7A" w:rsidRDefault="00194A7A" w:rsidP="00FE6F5A">
            <w:pPr>
              <w:pStyle w:val="TableParagraph"/>
              <w:ind w:right="357"/>
              <w:rPr>
                <w:sz w:val="20"/>
              </w:rPr>
            </w:pPr>
            <w:r>
              <w:rPr>
                <w:sz w:val="20"/>
              </w:rPr>
              <w:t>1.676</w:t>
            </w:r>
          </w:p>
        </w:tc>
        <w:tc>
          <w:tcPr>
            <w:tcW w:w="1155" w:type="dxa"/>
          </w:tcPr>
          <w:p w14:paraId="726173AE" w14:textId="77777777" w:rsidR="00194A7A" w:rsidRDefault="00194A7A" w:rsidP="00FE6F5A">
            <w:pPr>
              <w:pStyle w:val="TableParagraph"/>
              <w:ind w:left="286" w:right="274"/>
              <w:jc w:val="center"/>
              <w:rPr>
                <w:sz w:val="20"/>
              </w:rPr>
            </w:pPr>
            <w:r>
              <w:rPr>
                <w:sz w:val="20"/>
              </w:rPr>
              <w:t>1.940</w:t>
            </w:r>
          </w:p>
        </w:tc>
        <w:tc>
          <w:tcPr>
            <w:tcW w:w="1148" w:type="dxa"/>
          </w:tcPr>
          <w:p w14:paraId="1F9FCF1A" w14:textId="77777777" w:rsidR="00194A7A" w:rsidRDefault="00194A7A" w:rsidP="00FE6F5A">
            <w:pPr>
              <w:pStyle w:val="TableParagraph"/>
              <w:ind w:right="346"/>
              <w:rPr>
                <w:sz w:val="20"/>
              </w:rPr>
            </w:pPr>
            <w:r>
              <w:rPr>
                <w:sz w:val="20"/>
              </w:rPr>
              <w:t>1.530</w:t>
            </w:r>
          </w:p>
        </w:tc>
        <w:tc>
          <w:tcPr>
            <w:tcW w:w="1330" w:type="dxa"/>
            <w:vMerge/>
            <w:tcBorders>
              <w:top w:val="nil"/>
            </w:tcBorders>
          </w:tcPr>
          <w:p w14:paraId="50D8D9B5" w14:textId="77777777" w:rsidR="00194A7A" w:rsidRDefault="00194A7A" w:rsidP="00FE6F5A">
            <w:pPr>
              <w:spacing w:after="0" w:line="240" w:lineRule="auto"/>
              <w:rPr>
                <w:sz w:val="2"/>
                <w:szCs w:val="2"/>
              </w:rPr>
            </w:pPr>
          </w:p>
        </w:tc>
      </w:tr>
      <w:tr w:rsidR="00194A7A" w14:paraId="2E462E85" w14:textId="77777777" w:rsidTr="00AE23D3">
        <w:trPr>
          <w:trHeight w:val="230"/>
        </w:trPr>
        <w:tc>
          <w:tcPr>
            <w:tcW w:w="2260" w:type="dxa"/>
          </w:tcPr>
          <w:p w14:paraId="624A010D" w14:textId="77777777" w:rsidR="00194A7A" w:rsidRDefault="00194A7A" w:rsidP="00FE6F5A">
            <w:pPr>
              <w:pStyle w:val="TableParagraph"/>
              <w:ind w:left="117"/>
              <w:jc w:val="left"/>
              <w:rPr>
                <w:i/>
                <w:sz w:val="20"/>
              </w:rPr>
            </w:pPr>
            <w:r>
              <w:rPr>
                <w:i/>
                <w:sz w:val="20"/>
              </w:rPr>
              <w:t>Shapiro</w:t>
            </w:r>
            <w:r>
              <w:rPr>
                <w:i/>
                <w:spacing w:val="-2"/>
                <w:sz w:val="20"/>
              </w:rPr>
              <w:t xml:space="preserve"> </w:t>
            </w:r>
            <w:r>
              <w:rPr>
                <w:i/>
                <w:sz w:val="20"/>
              </w:rPr>
              <w:t>Wilk</w:t>
            </w:r>
          </w:p>
        </w:tc>
        <w:tc>
          <w:tcPr>
            <w:tcW w:w="1196" w:type="dxa"/>
          </w:tcPr>
          <w:p w14:paraId="4C173C85" w14:textId="77777777" w:rsidR="00194A7A" w:rsidRDefault="00194A7A" w:rsidP="00FE6F5A">
            <w:pPr>
              <w:pStyle w:val="TableParagraph"/>
              <w:ind w:right="282"/>
              <w:rPr>
                <w:sz w:val="20"/>
              </w:rPr>
            </w:pPr>
            <w:r>
              <w:rPr>
                <w:sz w:val="20"/>
              </w:rPr>
              <w:t>0.801*</w:t>
            </w:r>
          </w:p>
        </w:tc>
        <w:tc>
          <w:tcPr>
            <w:tcW w:w="1146" w:type="dxa"/>
          </w:tcPr>
          <w:p w14:paraId="32798A44" w14:textId="77777777" w:rsidR="00194A7A" w:rsidRDefault="00194A7A" w:rsidP="00FE6F5A">
            <w:pPr>
              <w:pStyle w:val="TableParagraph"/>
              <w:ind w:right="304"/>
              <w:rPr>
                <w:sz w:val="20"/>
              </w:rPr>
            </w:pPr>
            <w:r>
              <w:rPr>
                <w:sz w:val="20"/>
              </w:rPr>
              <w:t>0.723*</w:t>
            </w:r>
          </w:p>
        </w:tc>
        <w:tc>
          <w:tcPr>
            <w:tcW w:w="1155" w:type="dxa"/>
          </w:tcPr>
          <w:p w14:paraId="7BBA2545" w14:textId="77777777" w:rsidR="00194A7A" w:rsidRDefault="00194A7A" w:rsidP="00FE6F5A">
            <w:pPr>
              <w:pStyle w:val="TableParagraph"/>
              <w:ind w:left="286" w:right="278"/>
              <w:jc w:val="center"/>
              <w:rPr>
                <w:sz w:val="20"/>
              </w:rPr>
            </w:pPr>
            <w:r>
              <w:rPr>
                <w:sz w:val="20"/>
              </w:rPr>
              <w:t>0.985*</w:t>
            </w:r>
          </w:p>
        </w:tc>
        <w:tc>
          <w:tcPr>
            <w:tcW w:w="1148" w:type="dxa"/>
          </w:tcPr>
          <w:p w14:paraId="2F34CEB7" w14:textId="77777777" w:rsidR="00194A7A" w:rsidRDefault="00194A7A" w:rsidP="00FE6F5A">
            <w:pPr>
              <w:pStyle w:val="TableParagraph"/>
              <w:ind w:right="297"/>
              <w:rPr>
                <w:sz w:val="20"/>
              </w:rPr>
            </w:pPr>
            <w:r>
              <w:rPr>
                <w:sz w:val="20"/>
              </w:rPr>
              <w:t>0.965*</w:t>
            </w:r>
          </w:p>
        </w:tc>
        <w:tc>
          <w:tcPr>
            <w:tcW w:w="1330" w:type="dxa"/>
          </w:tcPr>
          <w:p w14:paraId="17EB05B2" w14:textId="77777777" w:rsidR="00194A7A" w:rsidRDefault="00194A7A" w:rsidP="00FE6F5A">
            <w:pPr>
              <w:pStyle w:val="TableParagraph"/>
              <w:jc w:val="left"/>
              <w:rPr>
                <w:sz w:val="16"/>
              </w:rPr>
            </w:pPr>
          </w:p>
        </w:tc>
      </w:tr>
      <w:tr w:rsidR="00194A7A" w14:paraId="61B7AD0C" w14:textId="77777777" w:rsidTr="00AE23D3">
        <w:trPr>
          <w:trHeight w:val="230"/>
        </w:trPr>
        <w:tc>
          <w:tcPr>
            <w:tcW w:w="2260" w:type="dxa"/>
          </w:tcPr>
          <w:p w14:paraId="55736846" w14:textId="77777777" w:rsidR="00194A7A" w:rsidRDefault="00194A7A" w:rsidP="00FE6F5A">
            <w:pPr>
              <w:pStyle w:val="TableParagraph"/>
              <w:ind w:left="117"/>
              <w:jc w:val="left"/>
              <w:rPr>
                <w:i/>
                <w:sz w:val="20"/>
              </w:rPr>
            </w:pPr>
            <w:r>
              <w:rPr>
                <w:i/>
                <w:sz w:val="20"/>
              </w:rPr>
              <w:t>Levene</w:t>
            </w:r>
            <w:r>
              <w:rPr>
                <w:i/>
                <w:spacing w:val="-1"/>
                <w:sz w:val="20"/>
              </w:rPr>
              <w:t xml:space="preserve"> </w:t>
            </w:r>
            <w:r>
              <w:rPr>
                <w:i/>
                <w:sz w:val="20"/>
              </w:rPr>
              <w:t>Test</w:t>
            </w:r>
          </w:p>
        </w:tc>
        <w:tc>
          <w:tcPr>
            <w:tcW w:w="1196" w:type="dxa"/>
          </w:tcPr>
          <w:p w14:paraId="47743BF7" w14:textId="77777777" w:rsidR="00194A7A" w:rsidRDefault="00194A7A" w:rsidP="00FE6F5A">
            <w:pPr>
              <w:pStyle w:val="TableParagraph"/>
              <w:jc w:val="left"/>
              <w:rPr>
                <w:sz w:val="16"/>
              </w:rPr>
            </w:pPr>
          </w:p>
        </w:tc>
        <w:tc>
          <w:tcPr>
            <w:tcW w:w="1146" w:type="dxa"/>
          </w:tcPr>
          <w:p w14:paraId="512D5A35" w14:textId="77777777" w:rsidR="00194A7A" w:rsidRDefault="00194A7A" w:rsidP="00FE6F5A">
            <w:pPr>
              <w:pStyle w:val="TableParagraph"/>
              <w:jc w:val="left"/>
              <w:rPr>
                <w:sz w:val="16"/>
              </w:rPr>
            </w:pPr>
          </w:p>
        </w:tc>
        <w:tc>
          <w:tcPr>
            <w:tcW w:w="1155" w:type="dxa"/>
          </w:tcPr>
          <w:p w14:paraId="53EA772C" w14:textId="77777777" w:rsidR="00194A7A" w:rsidRDefault="00194A7A" w:rsidP="00FE6F5A">
            <w:pPr>
              <w:pStyle w:val="TableParagraph"/>
              <w:jc w:val="left"/>
              <w:rPr>
                <w:sz w:val="16"/>
              </w:rPr>
            </w:pPr>
          </w:p>
        </w:tc>
        <w:tc>
          <w:tcPr>
            <w:tcW w:w="1148" w:type="dxa"/>
          </w:tcPr>
          <w:p w14:paraId="64EABD9B" w14:textId="77777777" w:rsidR="00194A7A" w:rsidRDefault="00194A7A" w:rsidP="00FE6F5A">
            <w:pPr>
              <w:pStyle w:val="TableParagraph"/>
              <w:jc w:val="left"/>
              <w:rPr>
                <w:sz w:val="16"/>
              </w:rPr>
            </w:pPr>
          </w:p>
        </w:tc>
        <w:tc>
          <w:tcPr>
            <w:tcW w:w="1330" w:type="dxa"/>
          </w:tcPr>
          <w:p w14:paraId="1C78CF5C" w14:textId="77777777" w:rsidR="00194A7A" w:rsidRDefault="00194A7A" w:rsidP="00FE6F5A">
            <w:pPr>
              <w:pStyle w:val="TableParagraph"/>
              <w:ind w:right="398"/>
              <w:rPr>
                <w:sz w:val="20"/>
              </w:rPr>
            </w:pPr>
            <w:r>
              <w:rPr>
                <w:sz w:val="20"/>
              </w:rPr>
              <w:t>0.969**</w:t>
            </w:r>
          </w:p>
        </w:tc>
      </w:tr>
      <w:tr w:rsidR="00194A7A" w14:paraId="31F5EA45" w14:textId="77777777" w:rsidTr="00AE23D3">
        <w:trPr>
          <w:trHeight w:val="231"/>
        </w:trPr>
        <w:tc>
          <w:tcPr>
            <w:tcW w:w="2260" w:type="dxa"/>
            <w:tcBorders>
              <w:bottom w:val="single" w:sz="4" w:space="0" w:color="000000"/>
            </w:tcBorders>
          </w:tcPr>
          <w:p w14:paraId="5E76A124" w14:textId="77777777" w:rsidR="00194A7A" w:rsidRDefault="00194A7A" w:rsidP="00FE6F5A">
            <w:pPr>
              <w:pStyle w:val="TableParagraph"/>
              <w:ind w:left="117"/>
              <w:jc w:val="left"/>
              <w:rPr>
                <w:i/>
                <w:sz w:val="20"/>
              </w:rPr>
            </w:pPr>
            <w:r>
              <w:rPr>
                <w:i/>
                <w:sz w:val="20"/>
              </w:rPr>
              <w:t>One</w:t>
            </w:r>
            <w:r>
              <w:rPr>
                <w:i/>
                <w:spacing w:val="3"/>
                <w:sz w:val="20"/>
              </w:rPr>
              <w:t xml:space="preserve"> </w:t>
            </w:r>
            <w:r>
              <w:rPr>
                <w:i/>
                <w:sz w:val="20"/>
              </w:rPr>
              <w:t>Way</w:t>
            </w:r>
            <w:r>
              <w:rPr>
                <w:i/>
                <w:spacing w:val="-1"/>
                <w:sz w:val="20"/>
              </w:rPr>
              <w:t xml:space="preserve"> </w:t>
            </w:r>
            <w:r>
              <w:rPr>
                <w:i/>
                <w:sz w:val="20"/>
              </w:rPr>
              <w:t>Anova</w:t>
            </w:r>
          </w:p>
        </w:tc>
        <w:tc>
          <w:tcPr>
            <w:tcW w:w="1196" w:type="dxa"/>
            <w:tcBorders>
              <w:bottom w:val="single" w:sz="4" w:space="0" w:color="000000"/>
            </w:tcBorders>
          </w:tcPr>
          <w:p w14:paraId="0810BE9E" w14:textId="77777777" w:rsidR="00194A7A" w:rsidRDefault="00194A7A" w:rsidP="00FE6F5A">
            <w:pPr>
              <w:pStyle w:val="TableParagraph"/>
              <w:jc w:val="left"/>
              <w:rPr>
                <w:sz w:val="16"/>
              </w:rPr>
            </w:pPr>
          </w:p>
        </w:tc>
        <w:tc>
          <w:tcPr>
            <w:tcW w:w="1146" w:type="dxa"/>
            <w:tcBorders>
              <w:bottom w:val="single" w:sz="4" w:space="0" w:color="000000"/>
            </w:tcBorders>
          </w:tcPr>
          <w:p w14:paraId="056D7364" w14:textId="77777777" w:rsidR="00194A7A" w:rsidRDefault="00194A7A" w:rsidP="00FE6F5A">
            <w:pPr>
              <w:pStyle w:val="TableParagraph"/>
              <w:jc w:val="left"/>
              <w:rPr>
                <w:sz w:val="16"/>
              </w:rPr>
            </w:pPr>
          </w:p>
        </w:tc>
        <w:tc>
          <w:tcPr>
            <w:tcW w:w="1155" w:type="dxa"/>
            <w:tcBorders>
              <w:bottom w:val="single" w:sz="4" w:space="0" w:color="000000"/>
            </w:tcBorders>
          </w:tcPr>
          <w:p w14:paraId="52F07B73" w14:textId="77777777" w:rsidR="00194A7A" w:rsidRDefault="00194A7A" w:rsidP="00FE6F5A">
            <w:pPr>
              <w:pStyle w:val="TableParagraph"/>
              <w:jc w:val="left"/>
              <w:rPr>
                <w:sz w:val="16"/>
              </w:rPr>
            </w:pPr>
          </w:p>
        </w:tc>
        <w:tc>
          <w:tcPr>
            <w:tcW w:w="1148" w:type="dxa"/>
            <w:tcBorders>
              <w:bottom w:val="single" w:sz="4" w:space="0" w:color="000000"/>
            </w:tcBorders>
          </w:tcPr>
          <w:p w14:paraId="6EBCC67D" w14:textId="77777777" w:rsidR="00194A7A" w:rsidRDefault="00194A7A" w:rsidP="00FE6F5A">
            <w:pPr>
              <w:pStyle w:val="TableParagraph"/>
              <w:jc w:val="left"/>
              <w:rPr>
                <w:sz w:val="16"/>
              </w:rPr>
            </w:pPr>
          </w:p>
        </w:tc>
        <w:tc>
          <w:tcPr>
            <w:tcW w:w="1330" w:type="dxa"/>
            <w:tcBorders>
              <w:bottom w:val="single" w:sz="4" w:space="0" w:color="000000"/>
            </w:tcBorders>
          </w:tcPr>
          <w:p w14:paraId="5B178FD6" w14:textId="77777777" w:rsidR="00194A7A" w:rsidRDefault="00194A7A" w:rsidP="00FE6F5A">
            <w:pPr>
              <w:pStyle w:val="TableParagraph"/>
              <w:ind w:right="341"/>
              <w:rPr>
                <w:sz w:val="20"/>
              </w:rPr>
            </w:pPr>
            <w:r>
              <w:rPr>
                <w:sz w:val="20"/>
              </w:rPr>
              <w:t>0.000***</w:t>
            </w:r>
          </w:p>
        </w:tc>
      </w:tr>
      <w:tr w:rsidR="00194A7A" w14:paraId="37DE8A60" w14:textId="77777777" w:rsidTr="00AE23D3">
        <w:trPr>
          <w:trHeight w:val="231"/>
        </w:trPr>
        <w:tc>
          <w:tcPr>
            <w:tcW w:w="2260" w:type="dxa"/>
            <w:tcBorders>
              <w:top w:val="single" w:sz="4" w:space="0" w:color="000000"/>
            </w:tcBorders>
          </w:tcPr>
          <w:p w14:paraId="422937A0" w14:textId="77777777" w:rsidR="00194A7A" w:rsidRDefault="00194A7A" w:rsidP="00FE6F5A">
            <w:pPr>
              <w:pStyle w:val="TableParagraph"/>
              <w:ind w:left="117"/>
              <w:jc w:val="left"/>
              <w:rPr>
                <w:b/>
                <w:sz w:val="20"/>
              </w:rPr>
            </w:pPr>
            <w:r>
              <w:rPr>
                <w:b/>
                <w:sz w:val="20"/>
              </w:rPr>
              <w:t>Kadar LDL</w:t>
            </w:r>
          </w:p>
        </w:tc>
        <w:tc>
          <w:tcPr>
            <w:tcW w:w="1196" w:type="dxa"/>
            <w:tcBorders>
              <w:top w:val="single" w:sz="4" w:space="0" w:color="000000"/>
            </w:tcBorders>
          </w:tcPr>
          <w:p w14:paraId="4247D7CE" w14:textId="77777777" w:rsidR="00194A7A" w:rsidRDefault="00194A7A" w:rsidP="00FE6F5A">
            <w:pPr>
              <w:pStyle w:val="TableParagraph"/>
              <w:ind w:right="335"/>
              <w:rPr>
                <w:sz w:val="20"/>
              </w:rPr>
            </w:pPr>
            <w:r>
              <w:rPr>
                <w:sz w:val="20"/>
              </w:rPr>
              <w:t>19,85</w:t>
            </w:r>
          </w:p>
        </w:tc>
        <w:tc>
          <w:tcPr>
            <w:tcW w:w="1146" w:type="dxa"/>
            <w:tcBorders>
              <w:top w:val="single" w:sz="4" w:space="0" w:color="000000"/>
            </w:tcBorders>
          </w:tcPr>
          <w:p w14:paraId="592EDC24" w14:textId="77777777" w:rsidR="00194A7A" w:rsidRDefault="00194A7A" w:rsidP="00FE6F5A">
            <w:pPr>
              <w:pStyle w:val="TableParagraph"/>
              <w:ind w:right="357"/>
              <w:rPr>
                <w:sz w:val="20"/>
              </w:rPr>
            </w:pPr>
            <w:r>
              <w:rPr>
                <w:sz w:val="20"/>
              </w:rPr>
              <w:t>68.83</w:t>
            </w:r>
          </w:p>
        </w:tc>
        <w:tc>
          <w:tcPr>
            <w:tcW w:w="1155" w:type="dxa"/>
            <w:tcBorders>
              <w:top w:val="single" w:sz="4" w:space="0" w:color="000000"/>
            </w:tcBorders>
          </w:tcPr>
          <w:p w14:paraId="75C036E7" w14:textId="77777777" w:rsidR="00194A7A" w:rsidRDefault="00194A7A" w:rsidP="00FE6F5A">
            <w:pPr>
              <w:pStyle w:val="TableParagraph"/>
              <w:ind w:left="286" w:right="274"/>
              <w:jc w:val="center"/>
              <w:rPr>
                <w:sz w:val="20"/>
              </w:rPr>
            </w:pPr>
            <w:r>
              <w:rPr>
                <w:sz w:val="20"/>
              </w:rPr>
              <w:t>30.44</w:t>
            </w:r>
          </w:p>
        </w:tc>
        <w:tc>
          <w:tcPr>
            <w:tcW w:w="1148" w:type="dxa"/>
            <w:tcBorders>
              <w:top w:val="single" w:sz="4" w:space="0" w:color="000000"/>
            </w:tcBorders>
          </w:tcPr>
          <w:p w14:paraId="6A073659" w14:textId="77777777" w:rsidR="00194A7A" w:rsidRDefault="00194A7A" w:rsidP="00FE6F5A">
            <w:pPr>
              <w:pStyle w:val="TableParagraph"/>
              <w:ind w:right="346"/>
              <w:rPr>
                <w:sz w:val="20"/>
              </w:rPr>
            </w:pPr>
            <w:r>
              <w:rPr>
                <w:sz w:val="20"/>
              </w:rPr>
              <w:t>34.17</w:t>
            </w:r>
          </w:p>
        </w:tc>
        <w:tc>
          <w:tcPr>
            <w:tcW w:w="1330" w:type="dxa"/>
            <w:vMerge w:val="restart"/>
            <w:tcBorders>
              <w:top w:val="single" w:sz="4" w:space="0" w:color="000000"/>
            </w:tcBorders>
          </w:tcPr>
          <w:p w14:paraId="31BCED0B" w14:textId="77777777" w:rsidR="00194A7A" w:rsidRDefault="00194A7A" w:rsidP="00FE6F5A">
            <w:pPr>
              <w:pStyle w:val="TableParagraph"/>
              <w:jc w:val="left"/>
              <w:rPr>
                <w:sz w:val="20"/>
              </w:rPr>
            </w:pPr>
          </w:p>
        </w:tc>
      </w:tr>
      <w:tr w:rsidR="00194A7A" w14:paraId="3A8B62CD" w14:textId="77777777" w:rsidTr="00AE23D3">
        <w:trPr>
          <w:trHeight w:val="228"/>
        </w:trPr>
        <w:tc>
          <w:tcPr>
            <w:tcW w:w="2260" w:type="dxa"/>
          </w:tcPr>
          <w:p w14:paraId="6F6F545F" w14:textId="77777777" w:rsidR="00194A7A" w:rsidRDefault="00194A7A" w:rsidP="00FE6F5A">
            <w:pPr>
              <w:pStyle w:val="TableParagraph"/>
              <w:ind w:left="117"/>
              <w:jc w:val="left"/>
              <w:rPr>
                <w:sz w:val="20"/>
              </w:rPr>
            </w:pPr>
            <w:r>
              <w:rPr>
                <w:sz w:val="20"/>
              </w:rPr>
              <w:lastRenderedPageBreak/>
              <w:t>Std.deviasi</w:t>
            </w:r>
          </w:p>
        </w:tc>
        <w:tc>
          <w:tcPr>
            <w:tcW w:w="1196" w:type="dxa"/>
          </w:tcPr>
          <w:p w14:paraId="1D04B600" w14:textId="77777777" w:rsidR="00194A7A" w:rsidRDefault="00194A7A" w:rsidP="00FE6F5A">
            <w:pPr>
              <w:pStyle w:val="TableParagraph"/>
              <w:ind w:right="335"/>
              <w:rPr>
                <w:sz w:val="20"/>
              </w:rPr>
            </w:pPr>
            <w:r>
              <w:rPr>
                <w:sz w:val="20"/>
              </w:rPr>
              <w:t>1.976</w:t>
            </w:r>
          </w:p>
        </w:tc>
        <w:tc>
          <w:tcPr>
            <w:tcW w:w="1146" w:type="dxa"/>
          </w:tcPr>
          <w:p w14:paraId="58C6F0A5" w14:textId="77777777" w:rsidR="00194A7A" w:rsidRDefault="00194A7A" w:rsidP="00FE6F5A">
            <w:pPr>
              <w:pStyle w:val="TableParagraph"/>
              <w:ind w:right="357"/>
              <w:rPr>
                <w:sz w:val="20"/>
              </w:rPr>
            </w:pPr>
            <w:r>
              <w:rPr>
                <w:sz w:val="20"/>
              </w:rPr>
              <w:t>2.911</w:t>
            </w:r>
          </w:p>
        </w:tc>
        <w:tc>
          <w:tcPr>
            <w:tcW w:w="1155" w:type="dxa"/>
          </w:tcPr>
          <w:p w14:paraId="630AD131" w14:textId="77777777" w:rsidR="00194A7A" w:rsidRDefault="00194A7A" w:rsidP="00FE6F5A">
            <w:pPr>
              <w:pStyle w:val="TableParagraph"/>
              <w:ind w:left="286" w:right="273"/>
              <w:jc w:val="center"/>
              <w:rPr>
                <w:sz w:val="20"/>
              </w:rPr>
            </w:pPr>
            <w:r>
              <w:rPr>
                <w:sz w:val="20"/>
              </w:rPr>
              <w:t>1.672</w:t>
            </w:r>
          </w:p>
        </w:tc>
        <w:tc>
          <w:tcPr>
            <w:tcW w:w="1148" w:type="dxa"/>
          </w:tcPr>
          <w:p w14:paraId="31082A2E" w14:textId="77777777" w:rsidR="00194A7A" w:rsidRDefault="00194A7A" w:rsidP="00FE6F5A">
            <w:pPr>
              <w:pStyle w:val="TableParagraph"/>
              <w:ind w:right="346"/>
              <w:rPr>
                <w:sz w:val="20"/>
              </w:rPr>
            </w:pPr>
            <w:r>
              <w:rPr>
                <w:sz w:val="20"/>
              </w:rPr>
              <w:t>2.314</w:t>
            </w:r>
          </w:p>
        </w:tc>
        <w:tc>
          <w:tcPr>
            <w:tcW w:w="1330" w:type="dxa"/>
            <w:vMerge/>
            <w:tcBorders>
              <w:top w:val="nil"/>
            </w:tcBorders>
          </w:tcPr>
          <w:p w14:paraId="2146F756" w14:textId="77777777" w:rsidR="00194A7A" w:rsidRDefault="00194A7A" w:rsidP="00FE6F5A">
            <w:pPr>
              <w:spacing w:after="0" w:line="240" w:lineRule="auto"/>
              <w:rPr>
                <w:sz w:val="2"/>
                <w:szCs w:val="2"/>
              </w:rPr>
            </w:pPr>
          </w:p>
        </w:tc>
      </w:tr>
      <w:tr w:rsidR="00194A7A" w14:paraId="538BABF7" w14:textId="77777777" w:rsidTr="00AE23D3">
        <w:trPr>
          <w:trHeight w:val="230"/>
        </w:trPr>
        <w:tc>
          <w:tcPr>
            <w:tcW w:w="2260" w:type="dxa"/>
          </w:tcPr>
          <w:p w14:paraId="105A3408" w14:textId="77777777" w:rsidR="00194A7A" w:rsidRDefault="00194A7A" w:rsidP="00FE6F5A">
            <w:pPr>
              <w:pStyle w:val="TableParagraph"/>
              <w:ind w:left="117"/>
              <w:jc w:val="left"/>
              <w:rPr>
                <w:i/>
                <w:sz w:val="20"/>
              </w:rPr>
            </w:pPr>
            <w:r>
              <w:rPr>
                <w:i/>
                <w:sz w:val="20"/>
              </w:rPr>
              <w:t>Shapiro</w:t>
            </w:r>
            <w:r>
              <w:rPr>
                <w:i/>
                <w:spacing w:val="-2"/>
                <w:sz w:val="20"/>
              </w:rPr>
              <w:t xml:space="preserve"> </w:t>
            </w:r>
            <w:r>
              <w:rPr>
                <w:i/>
                <w:sz w:val="20"/>
              </w:rPr>
              <w:t>Wilk</w:t>
            </w:r>
          </w:p>
        </w:tc>
        <w:tc>
          <w:tcPr>
            <w:tcW w:w="1196" w:type="dxa"/>
          </w:tcPr>
          <w:p w14:paraId="6F8ADD69" w14:textId="77777777" w:rsidR="00194A7A" w:rsidRDefault="00194A7A" w:rsidP="00FE6F5A">
            <w:pPr>
              <w:pStyle w:val="TableParagraph"/>
              <w:ind w:right="282"/>
              <w:rPr>
                <w:sz w:val="20"/>
              </w:rPr>
            </w:pPr>
            <w:r>
              <w:rPr>
                <w:sz w:val="20"/>
              </w:rPr>
              <w:t>0.800*</w:t>
            </w:r>
          </w:p>
        </w:tc>
        <w:tc>
          <w:tcPr>
            <w:tcW w:w="1146" w:type="dxa"/>
          </w:tcPr>
          <w:p w14:paraId="3D5D026D" w14:textId="77777777" w:rsidR="00194A7A" w:rsidRDefault="00194A7A" w:rsidP="00FE6F5A">
            <w:pPr>
              <w:pStyle w:val="TableParagraph"/>
              <w:ind w:right="304"/>
              <w:rPr>
                <w:sz w:val="20"/>
              </w:rPr>
            </w:pPr>
            <w:r>
              <w:rPr>
                <w:sz w:val="20"/>
              </w:rPr>
              <w:t>0.834*</w:t>
            </w:r>
          </w:p>
        </w:tc>
        <w:tc>
          <w:tcPr>
            <w:tcW w:w="1155" w:type="dxa"/>
          </w:tcPr>
          <w:p w14:paraId="3432DE0C" w14:textId="77777777" w:rsidR="00194A7A" w:rsidRDefault="00194A7A" w:rsidP="00FE6F5A">
            <w:pPr>
              <w:pStyle w:val="TableParagraph"/>
              <w:ind w:left="286" w:right="278"/>
              <w:jc w:val="center"/>
              <w:rPr>
                <w:sz w:val="20"/>
              </w:rPr>
            </w:pPr>
            <w:r>
              <w:rPr>
                <w:sz w:val="20"/>
              </w:rPr>
              <w:t>0.799*</w:t>
            </w:r>
          </w:p>
        </w:tc>
        <w:tc>
          <w:tcPr>
            <w:tcW w:w="1148" w:type="dxa"/>
          </w:tcPr>
          <w:p w14:paraId="1E7D5305" w14:textId="77777777" w:rsidR="00194A7A" w:rsidRDefault="00194A7A" w:rsidP="00FE6F5A">
            <w:pPr>
              <w:pStyle w:val="TableParagraph"/>
              <w:ind w:right="297"/>
              <w:rPr>
                <w:sz w:val="20"/>
              </w:rPr>
            </w:pPr>
            <w:r>
              <w:rPr>
                <w:sz w:val="20"/>
              </w:rPr>
              <w:t>0.770*</w:t>
            </w:r>
          </w:p>
        </w:tc>
        <w:tc>
          <w:tcPr>
            <w:tcW w:w="1330" w:type="dxa"/>
          </w:tcPr>
          <w:p w14:paraId="48E6A66E" w14:textId="77777777" w:rsidR="00194A7A" w:rsidRDefault="00194A7A" w:rsidP="00FE6F5A">
            <w:pPr>
              <w:pStyle w:val="TableParagraph"/>
              <w:jc w:val="left"/>
              <w:rPr>
                <w:sz w:val="16"/>
              </w:rPr>
            </w:pPr>
          </w:p>
        </w:tc>
      </w:tr>
      <w:tr w:rsidR="00194A7A" w14:paraId="7D2060C8" w14:textId="77777777" w:rsidTr="00AE23D3">
        <w:trPr>
          <w:trHeight w:val="228"/>
        </w:trPr>
        <w:tc>
          <w:tcPr>
            <w:tcW w:w="2260" w:type="dxa"/>
          </w:tcPr>
          <w:p w14:paraId="3051130D" w14:textId="77777777" w:rsidR="00194A7A" w:rsidRDefault="00194A7A" w:rsidP="00FE6F5A">
            <w:pPr>
              <w:pStyle w:val="TableParagraph"/>
              <w:ind w:left="117"/>
              <w:jc w:val="left"/>
              <w:rPr>
                <w:i/>
                <w:sz w:val="20"/>
              </w:rPr>
            </w:pPr>
            <w:r>
              <w:rPr>
                <w:i/>
                <w:sz w:val="20"/>
              </w:rPr>
              <w:t>Levene</w:t>
            </w:r>
            <w:r>
              <w:rPr>
                <w:i/>
                <w:spacing w:val="-1"/>
                <w:sz w:val="20"/>
              </w:rPr>
              <w:t xml:space="preserve"> </w:t>
            </w:r>
            <w:r>
              <w:rPr>
                <w:i/>
                <w:sz w:val="20"/>
              </w:rPr>
              <w:t>Test</w:t>
            </w:r>
          </w:p>
        </w:tc>
        <w:tc>
          <w:tcPr>
            <w:tcW w:w="1196" w:type="dxa"/>
          </w:tcPr>
          <w:p w14:paraId="315497EA" w14:textId="77777777" w:rsidR="00194A7A" w:rsidRDefault="00194A7A" w:rsidP="00FE6F5A">
            <w:pPr>
              <w:pStyle w:val="TableParagraph"/>
              <w:jc w:val="left"/>
              <w:rPr>
                <w:sz w:val="16"/>
              </w:rPr>
            </w:pPr>
          </w:p>
        </w:tc>
        <w:tc>
          <w:tcPr>
            <w:tcW w:w="1146" w:type="dxa"/>
          </w:tcPr>
          <w:p w14:paraId="1554BCB5" w14:textId="77777777" w:rsidR="00194A7A" w:rsidRDefault="00194A7A" w:rsidP="00FE6F5A">
            <w:pPr>
              <w:pStyle w:val="TableParagraph"/>
              <w:jc w:val="left"/>
              <w:rPr>
                <w:sz w:val="16"/>
              </w:rPr>
            </w:pPr>
          </w:p>
        </w:tc>
        <w:tc>
          <w:tcPr>
            <w:tcW w:w="1155" w:type="dxa"/>
          </w:tcPr>
          <w:p w14:paraId="6ED83747" w14:textId="77777777" w:rsidR="00194A7A" w:rsidRDefault="00194A7A" w:rsidP="00FE6F5A">
            <w:pPr>
              <w:pStyle w:val="TableParagraph"/>
              <w:jc w:val="left"/>
              <w:rPr>
                <w:sz w:val="16"/>
              </w:rPr>
            </w:pPr>
          </w:p>
        </w:tc>
        <w:tc>
          <w:tcPr>
            <w:tcW w:w="1148" w:type="dxa"/>
          </w:tcPr>
          <w:p w14:paraId="77CDA297" w14:textId="77777777" w:rsidR="00194A7A" w:rsidRDefault="00194A7A" w:rsidP="00FE6F5A">
            <w:pPr>
              <w:pStyle w:val="TableParagraph"/>
              <w:jc w:val="left"/>
              <w:rPr>
                <w:sz w:val="16"/>
              </w:rPr>
            </w:pPr>
          </w:p>
        </w:tc>
        <w:tc>
          <w:tcPr>
            <w:tcW w:w="1330" w:type="dxa"/>
          </w:tcPr>
          <w:p w14:paraId="26E3682D" w14:textId="77777777" w:rsidR="00194A7A" w:rsidRDefault="00194A7A" w:rsidP="00FE6F5A">
            <w:pPr>
              <w:pStyle w:val="TableParagraph"/>
              <w:ind w:right="398"/>
              <w:rPr>
                <w:sz w:val="20"/>
              </w:rPr>
            </w:pPr>
            <w:r>
              <w:rPr>
                <w:sz w:val="20"/>
              </w:rPr>
              <w:t>0.711**</w:t>
            </w:r>
          </w:p>
        </w:tc>
      </w:tr>
      <w:tr w:rsidR="00194A7A" w14:paraId="4C90CE8A" w14:textId="77777777" w:rsidTr="00AE23D3">
        <w:trPr>
          <w:trHeight w:val="228"/>
        </w:trPr>
        <w:tc>
          <w:tcPr>
            <w:tcW w:w="2260" w:type="dxa"/>
            <w:tcBorders>
              <w:bottom w:val="single" w:sz="4" w:space="0" w:color="000000"/>
            </w:tcBorders>
          </w:tcPr>
          <w:p w14:paraId="5E2DE213" w14:textId="77777777" w:rsidR="00194A7A" w:rsidRDefault="00194A7A" w:rsidP="00FE6F5A">
            <w:pPr>
              <w:pStyle w:val="TableParagraph"/>
              <w:ind w:left="117"/>
              <w:jc w:val="left"/>
              <w:rPr>
                <w:i/>
                <w:sz w:val="20"/>
              </w:rPr>
            </w:pPr>
            <w:r>
              <w:rPr>
                <w:i/>
                <w:sz w:val="20"/>
              </w:rPr>
              <w:t>One</w:t>
            </w:r>
            <w:r>
              <w:rPr>
                <w:i/>
                <w:spacing w:val="3"/>
                <w:sz w:val="20"/>
              </w:rPr>
              <w:t xml:space="preserve"> </w:t>
            </w:r>
            <w:r>
              <w:rPr>
                <w:i/>
                <w:sz w:val="20"/>
              </w:rPr>
              <w:t>Way</w:t>
            </w:r>
            <w:r>
              <w:rPr>
                <w:i/>
                <w:spacing w:val="-1"/>
                <w:sz w:val="20"/>
              </w:rPr>
              <w:t xml:space="preserve"> </w:t>
            </w:r>
            <w:r>
              <w:rPr>
                <w:i/>
                <w:sz w:val="20"/>
              </w:rPr>
              <w:t>Anova</w:t>
            </w:r>
          </w:p>
        </w:tc>
        <w:tc>
          <w:tcPr>
            <w:tcW w:w="1196" w:type="dxa"/>
            <w:tcBorders>
              <w:bottom w:val="single" w:sz="4" w:space="0" w:color="000000"/>
            </w:tcBorders>
          </w:tcPr>
          <w:p w14:paraId="2146D1D7" w14:textId="77777777" w:rsidR="00194A7A" w:rsidRDefault="00194A7A" w:rsidP="00FE6F5A">
            <w:pPr>
              <w:pStyle w:val="TableParagraph"/>
              <w:jc w:val="left"/>
              <w:rPr>
                <w:sz w:val="16"/>
              </w:rPr>
            </w:pPr>
          </w:p>
        </w:tc>
        <w:tc>
          <w:tcPr>
            <w:tcW w:w="1146" w:type="dxa"/>
            <w:tcBorders>
              <w:bottom w:val="single" w:sz="4" w:space="0" w:color="000000"/>
            </w:tcBorders>
          </w:tcPr>
          <w:p w14:paraId="34ECDDE7" w14:textId="77777777" w:rsidR="00194A7A" w:rsidRDefault="00194A7A" w:rsidP="00FE6F5A">
            <w:pPr>
              <w:pStyle w:val="TableParagraph"/>
              <w:jc w:val="left"/>
              <w:rPr>
                <w:sz w:val="16"/>
              </w:rPr>
            </w:pPr>
          </w:p>
        </w:tc>
        <w:tc>
          <w:tcPr>
            <w:tcW w:w="1155" w:type="dxa"/>
            <w:tcBorders>
              <w:bottom w:val="single" w:sz="4" w:space="0" w:color="000000"/>
            </w:tcBorders>
          </w:tcPr>
          <w:p w14:paraId="7E09B49D" w14:textId="77777777" w:rsidR="00194A7A" w:rsidRDefault="00194A7A" w:rsidP="00FE6F5A">
            <w:pPr>
              <w:pStyle w:val="TableParagraph"/>
              <w:jc w:val="left"/>
              <w:rPr>
                <w:sz w:val="16"/>
              </w:rPr>
            </w:pPr>
          </w:p>
        </w:tc>
        <w:tc>
          <w:tcPr>
            <w:tcW w:w="1148" w:type="dxa"/>
            <w:tcBorders>
              <w:bottom w:val="single" w:sz="4" w:space="0" w:color="000000"/>
            </w:tcBorders>
          </w:tcPr>
          <w:p w14:paraId="5562F919" w14:textId="77777777" w:rsidR="00194A7A" w:rsidRDefault="00194A7A" w:rsidP="00FE6F5A">
            <w:pPr>
              <w:pStyle w:val="TableParagraph"/>
              <w:jc w:val="left"/>
              <w:rPr>
                <w:sz w:val="16"/>
              </w:rPr>
            </w:pPr>
          </w:p>
        </w:tc>
        <w:tc>
          <w:tcPr>
            <w:tcW w:w="1330" w:type="dxa"/>
            <w:tcBorders>
              <w:bottom w:val="single" w:sz="4" w:space="0" w:color="000000"/>
            </w:tcBorders>
          </w:tcPr>
          <w:p w14:paraId="50FB1CE8" w14:textId="77777777" w:rsidR="00194A7A" w:rsidRDefault="00194A7A" w:rsidP="00FE6F5A">
            <w:pPr>
              <w:pStyle w:val="TableParagraph"/>
              <w:ind w:right="341"/>
              <w:rPr>
                <w:sz w:val="20"/>
              </w:rPr>
            </w:pPr>
            <w:r>
              <w:rPr>
                <w:sz w:val="20"/>
              </w:rPr>
              <w:t>0.000***</w:t>
            </w:r>
          </w:p>
        </w:tc>
      </w:tr>
      <w:tr w:rsidR="00194A7A" w14:paraId="234D2D6A" w14:textId="77777777" w:rsidTr="00AE23D3">
        <w:trPr>
          <w:trHeight w:val="231"/>
        </w:trPr>
        <w:tc>
          <w:tcPr>
            <w:tcW w:w="2260" w:type="dxa"/>
            <w:tcBorders>
              <w:top w:val="single" w:sz="4" w:space="0" w:color="000000"/>
            </w:tcBorders>
          </w:tcPr>
          <w:p w14:paraId="6A50714D" w14:textId="77777777" w:rsidR="00194A7A" w:rsidRDefault="00194A7A" w:rsidP="00FE6F5A">
            <w:pPr>
              <w:pStyle w:val="TableParagraph"/>
              <w:ind w:left="117"/>
              <w:jc w:val="left"/>
              <w:rPr>
                <w:b/>
                <w:sz w:val="20"/>
              </w:rPr>
            </w:pPr>
            <w:r>
              <w:rPr>
                <w:b/>
                <w:sz w:val="20"/>
              </w:rPr>
              <w:t>Kadar IL-6</w:t>
            </w:r>
          </w:p>
        </w:tc>
        <w:tc>
          <w:tcPr>
            <w:tcW w:w="1196" w:type="dxa"/>
            <w:tcBorders>
              <w:top w:val="single" w:sz="4" w:space="0" w:color="000000"/>
            </w:tcBorders>
          </w:tcPr>
          <w:p w14:paraId="2B1789C4" w14:textId="77777777" w:rsidR="00194A7A" w:rsidRDefault="00194A7A" w:rsidP="00FE6F5A">
            <w:pPr>
              <w:pStyle w:val="TableParagraph"/>
              <w:ind w:right="335"/>
              <w:rPr>
                <w:sz w:val="20"/>
              </w:rPr>
            </w:pPr>
            <w:r>
              <w:rPr>
                <w:sz w:val="20"/>
              </w:rPr>
              <w:t>75.07</w:t>
            </w:r>
          </w:p>
        </w:tc>
        <w:tc>
          <w:tcPr>
            <w:tcW w:w="1146" w:type="dxa"/>
            <w:tcBorders>
              <w:top w:val="single" w:sz="4" w:space="0" w:color="000000"/>
            </w:tcBorders>
          </w:tcPr>
          <w:p w14:paraId="410CE22B" w14:textId="77777777" w:rsidR="00194A7A" w:rsidRDefault="00194A7A" w:rsidP="00FE6F5A">
            <w:pPr>
              <w:pStyle w:val="TableParagraph"/>
              <w:ind w:right="304"/>
              <w:rPr>
                <w:sz w:val="20"/>
              </w:rPr>
            </w:pPr>
            <w:r>
              <w:rPr>
                <w:sz w:val="20"/>
              </w:rPr>
              <w:t>131.80</w:t>
            </w:r>
          </w:p>
        </w:tc>
        <w:tc>
          <w:tcPr>
            <w:tcW w:w="1155" w:type="dxa"/>
            <w:tcBorders>
              <w:top w:val="single" w:sz="4" w:space="0" w:color="000000"/>
            </w:tcBorders>
          </w:tcPr>
          <w:p w14:paraId="264D6DC7" w14:textId="77777777" w:rsidR="00194A7A" w:rsidRDefault="00194A7A" w:rsidP="00FE6F5A">
            <w:pPr>
              <w:pStyle w:val="TableParagraph"/>
              <w:ind w:left="286" w:right="273"/>
              <w:jc w:val="center"/>
              <w:rPr>
                <w:sz w:val="20"/>
              </w:rPr>
            </w:pPr>
            <w:r>
              <w:rPr>
                <w:sz w:val="20"/>
              </w:rPr>
              <w:t>86.52</w:t>
            </w:r>
          </w:p>
        </w:tc>
        <w:tc>
          <w:tcPr>
            <w:tcW w:w="1148" w:type="dxa"/>
            <w:tcBorders>
              <w:top w:val="single" w:sz="4" w:space="0" w:color="000000"/>
            </w:tcBorders>
          </w:tcPr>
          <w:p w14:paraId="03794330" w14:textId="77777777" w:rsidR="00194A7A" w:rsidRDefault="00194A7A" w:rsidP="00FE6F5A">
            <w:pPr>
              <w:pStyle w:val="TableParagraph"/>
              <w:ind w:right="298"/>
              <w:rPr>
                <w:sz w:val="20"/>
              </w:rPr>
            </w:pPr>
            <w:r>
              <w:rPr>
                <w:sz w:val="20"/>
              </w:rPr>
              <w:t>100.12</w:t>
            </w:r>
          </w:p>
        </w:tc>
        <w:tc>
          <w:tcPr>
            <w:tcW w:w="1330" w:type="dxa"/>
            <w:vMerge w:val="restart"/>
            <w:tcBorders>
              <w:top w:val="single" w:sz="4" w:space="0" w:color="000000"/>
            </w:tcBorders>
          </w:tcPr>
          <w:p w14:paraId="5E133E62" w14:textId="77777777" w:rsidR="00194A7A" w:rsidRDefault="00194A7A" w:rsidP="00FE6F5A">
            <w:pPr>
              <w:pStyle w:val="TableParagraph"/>
              <w:jc w:val="left"/>
              <w:rPr>
                <w:sz w:val="20"/>
              </w:rPr>
            </w:pPr>
          </w:p>
        </w:tc>
      </w:tr>
      <w:tr w:rsidR="00194A7A" w14:paraId="210481FE" w14:textId="77777777" w:rsidTr="00AE23D3">
        <w:trPr>
          <w:trHeight w:val="228"/>
        </w:trPr>
        <w:tc>
          <w:tcPr>
            <w:tcW w:w="2260" w:type="dxa"/>
          </w:tcPr>
          <w:p w14:paraId="62D3FFFE" w14:textId="77777777" w:rsidR="00194A7A" w:rsidRDefault="00194A7A" w:rsidP="00FE6F5A">
            <w:pPr>
              <w:pStyle w:val="TableParagraph"/>
              <w:ind w:left="117"/>
              <w:jc w:val="left"/>
              <w:rPr>
                <w:sz w:val="20"/>
              </w:rPr>
            </w:pPr>
            <w:r>
              <w:rPr>
                <w:sz w:val="20"/>
              </w:rPr>
              <w:t>Std.deviasi</w:t>
            </w:r>
          </w:p>
        </w:tc>
        <w:tc>
          <w:tcPr>
            <w:tcW w:w="1196" w:type="dxa"/>
          </w:tcPr>
          <w:p w14:paraId="7A108DDC" w14:textId="77777777" w:rsidR="00194A7A" w:rsidRDefault="00194A7A" w:rsidP="00FE6F5A">
            <w:pPr>
              <w:pStyle w:val="TableParagraph"/>
              <w:ind w:right="383"/>
              <w:rPr>
                <w:sz w:val="20"/>
              </w:rPr>
            </w:pPr>
            <w:r>
              <w:rPr>
                <w:sz w:val="20"/>
              </w:rPr>
              <w:t>4.64</w:t>
            </w:r>
          </w:p>
        </w:tc>
        <w:tc>
          <w:tcPr>
            <w:tcW w:w="1146" w:type="dxa"/>
          </w:tcPr>
          <w:p w14:paraId="681F21E9" w14:textId="77777777" w:rsidR="00194A7A" w:rsidRDefault="00194A7A" w:rsidP="00FE6F5A">
            <w:pPr>
              <w:pStyle w:val="TableParagraph"/>
              <w:ind w:right="405"/>
              <w:rPr>
                <w:sz w:val="20"/>
              </w:rPr>
            </w:pPr>
            <w:r>
              <w:rPr>
                <w:sz w:val="20"/>
              </w:rPr>
              <w:t>6.24</w:t>
            </w:r>
          </w:p>
        </w:tc>
        <w:tc>
          <w:tcPr>
            <w:tcW w:w="1155" w:type="dxa"/>
          </w:tcPr>
          <w:p w14:paraId="0D64E48E" w14:textId="77777777" w:rsidR="00194A7A" w:rsidRDefault="00194A7A" w:rsidP="00FE6F5A">
            <w:pPr>
              <w:pStyle w:val="TableParagraph"/>
              <w:ind w:left="286" w:right="278"/>
              <w:jc w:val="center"/>
              <w:rPr>
                <w:sz w:val="20"/>
              </w:rPr>
            </w:pPr>
            <w:r>
              <w:rPr>
                <w:sz w:val="20"/>
              </w:rPr>
              <w:t>2.57</w:t>
            </w:r>
          </w:p>
        </w:tc>
        <w:tc>
          <w:tcPr>
            <w:tcW w:w="1148" w:type="dxa"/>
          </w:tcPr>
          <w:p w14:paraId="72A0C731" w14:textId="77777777" w:rsidR="00194A7A" w:rsidRDefault="00194A7A" w:rsidP="00FE6F5A">
            <w:pPr>
              <w:pStyle w:val="TableParagraph"/>
              <w:ind w:right="398"/>
              <w:rPr>
                <w:sz w:val="20"/>
              </w:rPr>
            </w:pPr>
            <w:r>
              <w:rPr>
                <w:sz w:val="20"/>
              </w:rPr>
              <w:t>3.61</w:t>
            </w:r>
          </w:p>
        </w:tc>
        <w:tc>
          <w:tcPr>
            <w:tcW w:w="1330" w:type="dxa"/>
            <w:vMerge/>
            <w:tcBorders>
              <w:top w:val="nil"/>
            </w:tcBorders>
          </w:tcPr>
          <w:p w14:paraId="1D069811" w14:textId="77777777" w:rsidR="00194A7A" w:rsidRDefault="00194A7A" w:rsidP="00FE6F5A">
            <w:pPr>
              <w:spacing w:after="0" w:line="240" w:lineRule="auto"/>
              <w:rPr>
                <w:sz w:val="2"/>
                <w:szCs w:val="2"/>
              </w:rPr>
            </w:pPr>
          </w:p>
        </w:tc>
      </w:tr>
      <w:tr w:rsidR="00194A7A" w14:paraId="792DBE91" w14:textId="77777777" w:rsidTr="00AE23D3">
        <w:trPr>
          <w:trHeight w:val="230"/>
        </w:trPr>
        <w:tc>
          <w:tcPr>
            <w:tcW w:w="2260" w:type="dxa"/>
          </w:tcPr>
          <w:p w14:paraId="44FBC17E" w14:textId="77777777" w:rsidR="00194A7A" w:rsidRDefault="00194A7A" w:rsidP="00FE6F5A">
            <w:pPr>
              <w:pStyle w:val="TableParagraph"/>
              <w:ind w:left="117"/>
              <w:jc w:val="left"/>
              <w:rPr>
                <w:i/>
                <w:sz w:val="20"/>
              </w:rPr>
            </w:pPr>
            <w:r>
              <w:rPr>
                <w:i/>
                <w:sz w:val="20"/>
              </w:rPr>
              <w:t>Shapiro</w:t>
            </w:r>
            <w:r>
              <w:rPr>
                <w:i/>
                <w:spacing w:val="-2"/>
                <w:sz w:val="20"/>
              </w:rPr>
              <w:t xml:space="preserve"> </w:t>
            </w:r>
            <w:r>
              <w:rPr>
                <w:i/>
                <w:sz w:val="20"/>
              </w:rPr>
              <w:t>Wilk</w:t>
            </w:r>
          </w:p>
        </w:tc>
        <w:tc>
          <w:tcPr>
            <w:tcW w:w="1196" w:type="dxa"/>
          </w:tcPr>
          <w:p w14:paraId="093ADEE9" w14:textId="77777777" w:rsidR="00194A7A" w:rsidRDefault="00194A7A" w:rsidP="00FE6F5A">
            <w:pPr>
              <w:pStyle w:val="TableParagraph"/>
              <w:ind w:right="282"/>
              <w:rPr>
                <w:sz w:val="20"/>
              </w:rPr>
            </w:pPr>
            <w:r>
              <w:rPr>
                <w:sz w:val="20"/>
              </w:rPr>
              <w:t>0.826*</w:t>
            </w:r>
          </w:p>
        </w:tc>
        <w:tc>
          <w:tcPr>
            <w:tcW w:w="1146" w:type="dxa"/>
          </w:tcPr>
          <w:p w14:paraId="328645D8" w14:textId="77777777" w:rsidR="00194A7A" w:rsidRDefault="00194A7A" w:rsidP="00FE6F5A">
            <w:pPr>
              <w:pStyle w:val="TableParagraph"/>
              <w:ind w:right="304"/>
              <w:rPr>
                <w:sz w:val="20"/>
              </w:rPr>
            </w:pPr>
            <w:r>
              <w:rPr>
                <w:sz w:val="20"/>
              </w:rPr>
              <w:t>0.287*</w:t>
            </w:r>
          </w:p>
        </w:tc>
        <w:tc>
          <w:tcPr>
            <w:tcW w:w="1155" w:type="dxa"/>
          </w:tcPr>
          <w:p w14:paraId="643247F5" w14:textId="77777777" w:rsidR="00194A7A" w:rsidRDefault="00194A7A" w:rsidP="00FE6F5A">
            <w:pPr>
              <w:pStyle w:val="TableParagraph"/>
              <w:ind w:left="286" w:right="278"/>
              <w:jc w:val="center"/>
              <w:rPr>
                <w:sz w:val="20"/>
              </w:rPr>
            </w:pPr>
            <w:r>
              <w:rPr>
                <w:sz w:val="20"/>
              </w:rPr>
              <w:t>0.946*</w:t>
            </w:r>
          </w:p>
        </w:tc>
        <w:tc>
          <w:tcPr>
            <w:tcW w:w="1148" w:type="dxa"/>
          </w:tcPr>
          <w:p w14:paraId="77FF6FB2" w14:textId="77777777" w:rsidR="00194A7A" w:rsidRDefault="00194A7A" w:rsidP="00FE6F5A">
            <w:pPr>
              <w:pStyle w:val="TableParagraph"/>
              <w:ind w:right="297"/>
              <w:rPr>
                <w:sz w:val="20"/>
              </w:rPr>
            </w:pPr>
            <w:r>
              <w:rPr>
                <w:sz w:val="20"/>
              </w:rPr>
              <w:t>0.746*</w:t>
            </w:r>
          </w:p>
        </w:tc>
        <w:tc>
          <w:tcPr>
            <w:tcW w:w="1330" w:type="dxa"/>
            <w:vMerge/>
            <w:tcBorders>
              <w:top w:val="nil"/>
            </w:tcBorders>
          </w:tcPr>
          <w:p w14:paraId="1D6CFCDF" w14:textId="77777777" w:rsidR="00194A7A" w:rsidRDefault="00194A7A" w:rsidP="00FE6F5A">
            <w:pPr>
              <w:spacing w:after="0" w:line="240" w:lineRule="auto"/>
              <w:rPr>
                <w:sz w:val="2"/>
                <w:szCs w:val="2"/>
              </w:rPr>
            </w:pPr>
          </w:p>
        </w:tc>
      </w:tr>
      <w:tr w:rsidR="00194A7A" w14:paraId="51A22CC6" w14:textId="77777777" w:rsidTr="00AE23D3">
        <w:trPr>
          <w:trHeight w:val="225"/>
        </w:trPr>
        <w:tc>
          <w:tcPr>
            <w:tcW w:w="2260" w:type="dxa"/>
          </w:tcPr>
          <w:p w14:paraId="6AF4AC6C" w14:textId="77777777" w:rsidR="00194A7A" w:rsidRDefault="00194A7A" w:rsidP="00FE6F5A">
            <w:pPr>
              <w:pStyle w:val="TableParagraph"/>
              <w:ind w:left="117"/>
              <w:jc w:val="left"/>
              <w:rPr>
                <w:i/>
                <w:sz w:val="20"/>
              </w:rPr>
            </w:pPr>
            <w:r>
              <w:rPr>
                <w:i/>
                <w:sz w:val="20"/>
              </w:rPr>
              <w:t>Levene</w:t>
            </w:r>
            <w:r>
              <w:rPr>
                <w:i/>
                <w:spacing w:val="-1"/>
                <w:sz w:val="20"/>
              </w:rPr>
              <w:t xml:space="preserve"> </w:t>
            </w:r>
            <w:r>
              <w:rPr>
                <w:i/>
                <w:sz w:val="20"/>
              </w:rPr>
              <w:t>Test</w:t>
            </w:r>
          </w:p>
        </w:tc>
        <w:tc>
          <w:tcPr>
            <w:tcW w:w="1196" w:type="dxa"/>
            <w:vMerge w:val="restart"/>
            <w:tcBorders>
              <w:bottom w:val="single" w:sz="4" w:space="0" w:color="000000"/>
            </w:tcBorders>
          </w:tcPr>
          <w:p w14:paraId="47878CDE" w14:textId="77777777" w:rsidR="00194A7A" w:rsidRDefault="00194A7A" w:rsidP="00FE6F5A">
            <w:pPr>
              <w:pStyle w:val="TableParagraph"/>
              <w:jc w:val="left"/>
              <w:rPr>
                <w:sz w:val="20"/>
              </w:rPr>
            </w:pPr>
          </w:p>
        </w:tc>
        <w:tc>
          <w:tcPr>
            <w:tcW w:w="1146" w:type="dxa"/>
            <w:vMerge w:val="restart"/>
            <w:tcBorders>
              <w:bottom w:val="single" w:sz="4" w:space="0" w:color="000000"/>
            </w:tcBorders>
          </w:tcPr>
          <w:p w14:paraId="3633EE33" w14:textId="77777777" w:rsidR="00194A7A" w:rsidRDefault="00194A7A" w:rsidP="00FE6F5A">
            <w:pPr>
              <w:pStyle w:val="TableParagraph"/>
              <w:jc w:val="left"/>
              <w:rPr>
                <w:sz w:val="20"/>
              </w:rPr>
            </w:pPr>
          </w:p>
        </w:tc>
        <w:tc>
          <w:tcPr>
            <w:tcW w:w="1155" w:type="dxa"/>
            <w:vMerge w:val="restart"/>
            <w:tcBorders>
              <w:bottom w:val="single" w:sz="4" w:space="0" w:color="000000"/>
            </w:tcBorders>
          </w:tcPr>
          <w:p w14:paraId="0145F44C" w14:textId="77777777" w:rsidR="00194A7A" w:rsidRDefault="00194A7A" w:rsidP="00FE6F5A">
            <w:pPr>
              <w:pStyle w:val="TableParagraph"/>
              <w:jc w:val="left"/>
              <w:rPr>
                <w:sz w:val="20"/>
              </w:rPr>
            </w:pPr>
          </w:p>
        </w:tc>
        <w:tc>
          <w:tcPr>
            <w:tcW w:w="1148" w:type="dxa"/>
            <w:vMerge w:val="restart"/>
            <w:tcBorders>
              <w:bottom w:val="single" w:sz="4" w:space="0" w:color="000000"/>
            </w:tcBorders>
          </w:tcPr>
          <w:p w14:paraId="73B9ABF2" w14:textId="77777777" w:rsidR="00194A7A" w:rsidRDefault="00194A7A" w:rsidP="00FE6F5A">
            <w:pPr>
              <w:pStyle w:val="TableParagraph"/>
              <w:jc w:val="left"/>
              <w:rPr>
                <w:sz w:val="20"/>
              </w:rPr>
            </w:pPr>
          </w:p>
        </w:tc>
        <w:tc>
          <w:tcPr>
            <w:tcW w:w="1330" w:type="dxa"/>
          </w:tcPr>
          <w:p w14:paraId="350666CA" w14:textId="77777777" w:rsidR="00194A7A" w:rsidRDefault="00194A7A" w:rsidP="00FE6F5A">
            <w:pPr>
              <w:pStyle w:val="TableParagraph"/>
              <w:ind w:right="398"/>
              <w:rPr>
                <w:sz w:val="20"/>
              </w:rPr>
            </w:pPr>
            <w:r>
              <w:rPr>
                <w:sz w:val="20"/>
              </w:rPr>
              <w:t>0.098**</w:t>
            </w:r>
          </w:p>
        </w:tc>
      </w:tr>
      <w:tr w:rsidR="00194A7A" w14:paraId="083656B7" w14:textId="77777777" w:rsidTr="00AE23D3">
        <w:trPr>
          <w:trHeight w:val="226"/>
        </w:trPr>
        <w:tc>
          <w:tcPr>
            <w:tcW w:w="2260" w:type="dxa"/>
            <w:tcBorders>
              <w:bottom w:val="single" w:sz="4" w:space="0" w:color="000000"/>
            </w:tcBorders>
          </w:tcPr>
          <w:p w14:paraId="559C7627" w14:textId="77777777" w:rsidR="00194A7A" w:rsidRDefault="00194A7A" w:rsidP="00FE6F5A">
            <w:pPr>
              <w:pStyle w:val="TableParagraph"/>
              <w:ind w:left="117"/>
              <w:jc w:val="left"/>
              <w:rPr>
                <w:i/>
                <w:sz w:val="20"/>
              </w:rPr>
            </w:pPr>
            <w:r>
              <w:rPr>
                <w:i/>
                <w:sz w:val="20"/>
              </w:rPr>
              <w:t>One</w:t>
            </w:r>
            <w:r>
              <w:rPr>
                <w:i/>
                <w:spacing w:val="3"/>
                <w:sz w:val="20"/>
              </w:rPr>
              <w:t xml:space="preserve"> </w:t>
            </w:r>
            <w:r>
              <w:rPr>
                <w:i/>
                <w:sz w:val="20"/>
              </w:rPr>
              <w:t>Way</w:t>
            </w:r>
            <w:r>
              <w:rPr>
                <w:i/>
                <w:spacing w:val="-1"/>
                <w:sz w:val="20"/>
              </w:rPr>
              <w:t xml:space="preserve"> </w:t>
            </w:r>
            <w:r>
              <w:rPr>
                <w:i/>
                <w:sz w:val="20"/>
              </w:rPr>
              <w:t>Anova</w:t>
            </w:r>
          </w:p>
        </w:tc>
        <w:tc>
          <w:tcPr>
            <w:tcW w:w="1196" w:type="dxa"/>
            <w:vMerge/>
            <w:tcBorders>
              <w:top w:val="nil"/>
              <w:bottom w:val="single" w:sz="4" w:space="0" w:color="000000"/>
            </w:tcBorders>
          </w:tcPr>
          <w:p w14:paraId="6E6DA848" w14:textId="77777777" w:rsidR="00194A7A" w:rsidRDefault="00194A7A" w:rsidP="00FE6F5A">
            <w:pPr>
              <w:spacing w:after="0" w:line="240" w:lineRule="auto"/>
              <w:rPr>
                <w:sz w:val="2"/>
                <w:szCs w:val="2"/>
              </w:rPr>
            </w:pPr>
          </w:p>
        </w:tc>
        <w:tc>
          <w:tcPr>
            <w:tcW w:w="1146" w:type="dxa"/>
            <w:vMerge/>
            <w:tcBorders>
              <w:top w:val="nil"/>
              <w:bottom w:val="single" w:sz="4" w:space="0" w:color="000000"/>
            </w:tcBorders>
          </w:tcPr>
          <w:p w14:paraId="7FDDC47E" w14:textId="77777777" w:rsidR="00194A7A" w:rsidRDefault="00194A7A" w:rsidP="00FE6F5A">
            <w:pPr>
              <w:spacing w:after="0" w:line="240" w:lineRule="auto"/>
              <w:rPr>
                <w:sz w:val="2"/>
                <w:szCs w:val="2"/>
              </w:rPr>
            </w:pPr>
          </w:p>
        </w:tc>
        <w:tc>
          <w:tcPr>
            <w:tcW w:w="1155" w:type="dxa"/>
            <w:vMerge/>
            <w:tcBorders>
              <w:top w:val="nil"/>
              <w:bottom w:val="single" w:sz="4" w:space="0" w:color="000000"/>
            </w:tcBorders>
          </w:tcPr>
          <w:p w14:paraId="79C81D2A" w14:textId="77777777" w:rsidR="00194A7A" w:rsidRDefault="00194A7A" w:rsidP="00FE6F5A">
            <w:pPr>
              <w:spacing w:after="0" w:line="240" w:lineRule="auto"/>
              <w:rPr>
                <w:sz w:val="2"/>
                <w:szCs w:val="2"/>
              </w:rPr>
            </w:pPr>
          </w:p>
        </w:tc>
        <w:tc>
          <w:tcPr>
            <w:tcW w:w="1148" w:type="dxa"/>
            <w:vMerge/>
            <w:tcBorders>
              <w:top w:val="nil"/>
              <w:bottom w:val="single" w:sz="4" w:space="0" w:color="000000"/>
            </w:tcBorders>
          </w:tcPr>
          <w:p w14:paraId="0D13DD28" w14:textId="77777777" w:rsidR="00194A7A" w:rsidRDefault="00194A7A" w:rsidP="00FE6F5A">
            <w:pPr>
              <w:spacing w:after="0" w:line="240" w:lineRule="auto"/>
              <w:rPr>
                <w:sz w:val="2"/>
                <w:szCs w:val="2"/>
              </w:rPr>
            </w:pPr>
          </w:p>
        </w:tc>
        <w:tc>
          <w:tcPr>
            <w:tcW w:w="1330" w:type="dxa"/>
            <w:tcBorders>
              <w:bottom w:val="single" w:sz="4" w:space="0" w:color="000000"/>
            </w:tcBorders>
          </w:tcPr>
          <w:p w14:paraId="4E17F59D" w14:textId="77777777" w:rsidR="00194A7A" w:rsidRDefault="00194A7A" w:rsidP="00FE6F5A">
            <w:pPr>
              <w:pStyle w:val="TableParagraph"/>
              <w:ind w:right="341"/>
              <w:rPr>
                <w:sz w:val="20"/>
              </w:rPr>
            </w:pPr>
            <w:r>
              <w:rPr>
                <w:sz w:val="20"/>
              </w:rPr>
              <w:t>0,000***</w:t>
            </w:r>
          </w:p>
        </w:tc>
      </w:tr>
      <w:tr w:rsidR="00194A7A" w14:paraId="25EE240B" w14:textId="77777777" w:rsidTr="00AE23D3">
        <w:trPr>
          <w:trHeight w:val="230"/>
        </w:trPr>
        <w:tc>
          <w:tcPr>
            <w:tcW w:w="8235" w:type="dxa"/>
            <w:gridSpan w:val="6"/>
            <w:tcBorders>
              <w:top w:val="single" w:sz="4" w:space="0" w:color="000000"/>
              <w:bottom w:val="single" w:sz="4" w:space="0" w:color="000000"/>
            </w:tcBorders>
          </w:tcPr>
          <w:p w14:paraId="27A95351" w14:textId="77777777" w:rsidR="00194A7A" w:rsidRDefault="00194A7A" w:rsidP="00FE6F5A">
            <w:pPr>
              <w:pStyle w:val="TableParagraph"/>
              <w:ind w:left="117"/>
              <w:jc w:val="left"/>
              <w:rPr>
                <w:sz w:val="20"/>
              </w:rPr>
            </w:pPr>
            <w:r>
              <w:rPr>
                <w:b/>
                <w:sz w:val="20"/>
              </w:rPr>
              <w:t>Keterangan:</w:t>
            </w:r>
            <w:r>
              <w:rPr>
                <w:b/>
                <w:spacing w:val="-1"/>
                <w:sz w:val="20"/>
              </w:rPr>
              <w:t xml:space="preserve"> </w:t>
            </w:r>
            <w:r>
              <w:rPr>
                <w:b/>
                <w:sz w:val="20"/>
              </w:rPr>
              <w:t>*</w:t>
            </w:r>
            <w:r>
              <w:rPr>
                <w:sz w:val="20"/>
              </w:rPr>
              <w:t>Normal</w:t>
            </w:r>
            <w:r>
              <w:rPr>
                <w:spacing w:val="-4"/>
                <w:sz w:val="20"/>
              </w:rPr>
              <w:t xml:space="preserve"> </w:t>
            </w:r>
            <w:r>
              <w:rPr>
                <w:sz w:val="20"/>
              </w:rPr>
              <w:t>p&gt;0,05</w:t>
            </w:r>
            <w:r>
              <w:rPr>
                <w:spacing w:val="-6"/>
                <w:sz w:val="20"/>
              </w:rPr>
              <w:t xml:space="preserve"> </w:t>
            </w:r>
            <w:r>
              <w:rPr>
                <w:sz w:val="20"/>
              </w:rPr>
              <w:t>**Homogen</w:t>
            </w:r>
            <w:r>
              <w:rPr>
                <w:spacing w:val="4"/>
                <w:sz w:val="20"/>
              </w:rPr>
              <w:t xml:space="preserve"> </w:t>
            </w:r>
            <w:r>
              <w:rPr>
                <w:sz w:val="20"/>
              </w:rPr>
              <w:t>p&gt;0,05</w:t>
            </w:r>
            <w:r>
              <w:rPr>
                <w:spacing w:val="-5"/>
                <w:sz w:val="20"/>
              </w:rPr>
              <w:t xml:space="preserve"> </w:t>
            </w:r>
            <w:r>
              <w:rPr>
                <w:sz w:val="20"/>
              </w:rPr>
              <w:t>***Signifikan</w:t>
            </w:r>
            <w:r>
              <w:rPr>
                <w:spacing w:val="-1"/>
                <w:sz w:val="20"/>
              </w:rPr>
              <w:t xml:space="preserve"> </w:t>
            </w:r>
            <w:r>
              <w:rPr>
                <w:sz w:val="20"/>
              </w:rPr>
              <w:t>p&lt;0,05</w:t>
            </w:r>
          </w:p>
        </w:tc>
      </w:tr>
    </w:tbl>
    <w:p w14:paraId="4FBC8BA3" w14:textId="77777777" w:rsidR="00194A7A" w:rsidRDefault="00194A7A" w:rsidP="00FE6F5A">
      <w:pPr>
        <w:spacing w:after="0" w:line="240" w:lineRule="auto"/>
        <w:jc w:val="both"/>
        <w:rPr>
          <w:rFonts w:ascii="Georgia" w:hAnsi="Georgia" w:cs="Times New Roman"/>
          <w:bCs/>
          <w:sz w:val="23"/>
          <w:szCs w:val="23"/>
          <w:lang w:val="id-ID"/>
        </w:rPr>
      </w:pPr>
    </w:p>
    <w:p w14:paraId="61F2095E" w14:textId="2D4179BE" w:rsidR="007634DA" w:rsidRDefault="007634DA" w:rsidP="00FE6F5A">
      <w:pPr>
        <w:spacing w:after="0" w:line="240" w:lineRule="auto"/>
        <w:jc w:val="both"/>
        <w:rPr>
          <w:rFonts w:ascii="Georgia" w:hAnsi="Georgia" w:cs="Times New Roman"/>
          <w:b/>
          <w:sz w:val="23"/>
          <w:szCs w:val="23"/>
          <w:lang w:val="id-ID"/>
        </w:rPr>
      </w:pPr>
      <w:r w:rsidRPr="007634DA">
        <w:rPr>
          <w:rFonts w:ascii="Georgia" w:hAnsi="Georgia" w:cs="Times New Roman"/>
          <w:b/>
          <w:sz w:val="23"/>
          <w:szCs w:val="23"/>
          <w:lang w:val="id-ID"/>
        </w:rPr>
        <w:t>HDL</w:t>
      </w:r>
      <w:r w:rsidR="00194A7A">
        <w:rPr>
          <w:rFonts w:ascii="Georgia" w:hAnsi="Georgia" w:cs="Times New Roman"/>
          <w:b/>
          <w:sz w:val="23"/>
          <w:szCs w:val="23"/>
          <w:lang w:val="id-ID"/>
        </w:rPr>
        <w:t xml:space="preserve"> Levels</w:t>
      </w:r>
    </w:p>
    <w:p w14:paraId="3391C5C6" w14:textId="2DC4CCC9" w:rsidR="007634DA" w:rsidRDefault="007634DA" w:rsidP="00FE6F5A">
      <w:pPr>
        <w:spacing w:after="0" w:line="240" w:lineRule="auto"/>
        <w:jc w:val="both"/>
        <w:rPr>
          <w:rFonts w:ascii="Georgia" w:hAnsi="Georgia" w:cs="Times New Roman"/>
          <w:bCs/>
          <w:sz w:val="23"/>
          <w:szCs w:val="23"/>
          <w:lang w:val="id-ID"/>
        </w:rPr>
      </w:pPr>
      <w:r w:rsidRPr="007634DA">
        <w:rPr>
          <w:rFonts w:ascii="Georgia" w:hAnsi="Georgia" w:cs="Times New Roman"/>
          <w:bCs/>
          <w:sz w:val="23"/>
          <w:szCs w:val="23"/>
          <w:lang w:val="id-ID"/>
        </w:rPr>
        <w:t>Table 2 shows that the lowest average HDL levels were in the K1 group, followed by the second treatment group (P2) and the first treatment group (P1). The control group (K0) got the lowest average HDL levels. In all groups of HDL levels based on the shapiro wilk test, the data were normally distributed (p&gt;0.05) and the homogeneity test using the levene test the results were homogeneous (p=0.969) then data analysis using the One Way Anova parametric test. One Way Anova test results showed significant differences between groups (p=0.000). To find out which groups differ meaningfully performed a post Hoc test with the Tukey test as presented in table 3</w:t>
      </w:r>
      <w:r>
        <w:rPr>
          <w:rFonts w:ascii="Georgia" w:hAnsi="Georgia" w:cs="Times New Roman"/>
          <w:bCs/>
          <w:sz w:val="23"/>
          <w:szCs w:val="23"/>
          <w:lang w:val="id-ID"/>
        </w:rPr>
        <w:t xml:space="preserve">. </w:t>
      </w:r>
      <w:r w:rsidRPr="007634DA">
        <w:rPr>
          <w:rFonts w:ascii="Georgia" w:hAnsi="Georgia" w:cs="Times New Roman"/>
          <w:bCs/>
          <w:sz w:val="23"/>
          <w:szCs w:val="23"/>
          <w:lang w:val="id-ID"/>
        </w:rPr>
        <w:t>Table 2 shows that the lowest average HDL levels were in the K1 group, followed by the second treatment group (P2) and the first treatment group (P1). The control group (K0) got the lowest average HDL levels. In all groups of HDL levels based on the shapiro wilk test, the data were normally distributed (p&gt;0.05) and the homogeneity test using the levene test the results were homogeneous (p=0.969) then data analysis using the One Way Anova parametric test. One Way Anova test results showed significant differences between groups (p=0.000). To find out which groups differ meaningfully performed a post Hoc test with the Tukey test as presented in table 3</w:t>
      </w:r>
      <w:r>
        <w:rPr>
          <w:rFonts w:ascii="Georgia" w:hAnsi="Georgia" w:cs="Times New Roman"/>
          <w:bCs/>
          <w:sz w:val="23"/>
          <w:szCs w:val="23"/>
          <w:lang w:val="id-ID"/>
        </w:rPr>
        <w:t>.</w:t>
      </w:r>
    </w:p>
    <w:p w14:paraId="71F10858" w14:textId="158279AA" w:rsidR="007634DA" w:rsidRDefault="007634DA" w:rsidP="00FE6F5A">
      <w:pPr>
        <w:spacing w:after="0" w:line="240" w:lineRule="auto"/>
        <w:jc w:val="both"/>
        <w:rPr>
          <w:rFonts w:ascii="Georgia" w:hAnsi="Georgia" w:cs="Times New Roman"/>
          <w:b/>
          <w:sz w:val="23"/>
          <w:szCs w:val="23"/>
          <w:lang w:val="id-ID"/>
        </w:rPr>
      </w:pPr>
      <w:r w:rsidRPr="007634DA">
        <w:rPr>
          <w:rFonts w:ascii="Georgia" w:hAnsi="Georgia" w:cs="Times New Roman"/>
          <w:b/>
          <w:sz w:val="23"/>
          <w:szCs w:val="23"/>
          <w:lang w:val="id-ID"/>
        </w:rPr>
        <w:t>LDL</w:t>
      </w:r>
      <w:r w:rsidR="00194A7A">
        <w:rPr>
          <w:rFonts w:ascii="Georgia" w:hAnsi="Georgia" w:cs="Times New Roman"/>
          <w:b/>
          <w:sz w:val="23"/>
          <w:szCs w:val="23"/>
          <w:lang w:val="id-ID"/>
        </w:rPr>
        <w:t xml:space="preserve"> Levels</w:t>
      </w:r>
    </w:p>
    <w:p w14:paraId="498228FA" w14:textId="77777777" w:rsidR="002B7D8B" w:rsidRDefault="002B7D8B" w:rsidP="00FE6F5A">
      <w:pPr>
        <w:spacing w:after="0" w:line="240" w:lineRule="auto"/>
        <w:jc w:val="both"/>
        <w:rPr>
          <w:rFonts w:ascii="Georgia" w:hAnsi="Georgia" w:cs="Times New Roman"/>
          <w:b/>
          <w:sz w:val="23"/>
          <w:szCs w:val="23"/>
          <w:lang w:val="id-ID"/>
        </w:rPr>
      </w:pPr>
    </w:p>
    <w:p w14:paraId="4CF84784" w14:textId="0F26E3DF" w:rsidR="00194A7A" w:rsidRDefault="00194A7A" w:rsidP="00FE6F5A">
      <w:pPr>
        <w:spacing w:after="0" w:line="240" w:lineRule="auto"/>
        <w:jc w:val="both"/>
        <w:rPr>
          <w:rFonts w:ascii="Georgia" w:hAnsi="Georgia" w:cs="Times New Roman"/>
          <w:bCs/>
          <w:sz w:val="23"/>
          <w:szCs w:val="23"/>
          <w:lang w:val="id-ID"/>
        </w:rPr>
      </w:pPr>
      <w:r w:rsidRPr="00194A7A">
        <w:rPr>
          <w:rFonts w:ascii="Georgia" w:hAnsi="Georgia" w:cs="Times New Roman"/>
          <w:bCs/>
          <w:sz w:val="23"/>
          <w:szCs w:val="23"/>
          <w:lang w:val="id-ID"/>
        </w:rPr>
        <w:t>Table. 2 Differences in HDL levels between 2 groups using the Tukey test</w:t>
      </w:r>
    </w:p>
    <w:tbl>
      <w:tblPr>
        <w:tblW w:w="0" w:type="auto"/>
        <w:tblInd w:w="906" w:type="dxa"/>
        <w:tblLayout w:type="fixed"/>
        <w:tblCellMar>
          <w:left w:w="0" w:type="dxa"/>
          <w:right w:w="0" w:type="dxa"/>
        </w:tblCellMar>
        <w:tblLook w:val="01E0" w:firstRow="1" w:lastRow="1" w:firstColumn="1" w:lastColumn="1" w:noHBand="0" w:noVBand="0"/>
      </w:tblPr>
      <w:tblGrid>
        <w:gridCol w:w="4058"/>
        <w:gridCol w:w="3814"/>
      </w:tblGrid>
      <w:tr w:rsidR="00683056" w14:paraId="7DD1B2AB" w14:textId="77777777" w:rsidTr="00AE23D3">
        <w:trPr>
          <w:trHeight w:val="254"/>
        </w:trPr>
        <w:tc>
          <w:tcPr>
            <w:tcW w:w="4058" w:type="dxa"/>
            <w:tcBorders>
              <w:top w:val="single" w:sz="4" w:space="0" w:color="000000"/>
              <w:bottom w:val="single" w:sz="4" w:space="0" w:color="000000"/>
            </w:tcBorders>
          </w:tcPr>
          <w:p w14:paraId="4AC455F8" w14:textId="51527192" w:rsidR="00683056" w:rsidRPr="00683056" w:rsidRDefault="00683056" w:rsidP="00FE6F5A">
            <w:pPr>
              <w:pStyle w:val="TableParagraph"/>
              <w:ind w:left="1519" w:right="1520"/>
              <w:jc w:val="center"/>
              <w:rPr>
                <w:b/>
                <w:lang w:val="id-ID"/>
              </w:rPr>
            </w:pPr>
            <w:r>
              <w:rPr>
                <w:b/>
                <w:lang w:val="id-ID"/>
              </w:rPr>
              <w:t>Group</w:t>
            </w:r>
          </w:p>
        </w:tc>
        <w:tc>
          <w:tcPr>
            <w:tcW w:w="3814" w:type="dxa"/>
            <w:tcBorders>
              <w:top w:val="single" w:sz="4" w:space="0" w:color="000000"/>
              <w:bottom w:val="single" w:sz="4" w:space="0" w:color="000000"/>
            </w:tcBorders>
          </w:tcPr>
          <w:p w14:paraId="6922F9B0" w14:textId="77777777" w:rsidR="00683056" w:rsidRDefault="00683056" w:rsidP="00FE6F5A">
            <w:pPr>
              <w:pStyle w:val="TableParagraph"/>
              <w:ind w:left="1524" w:right="1527"/>
              <w:jc w:val="center"/>
              <w:rPr>
                <w:b/>
                <w:i/>
              </w:rPr>
            </w:pPr>
            <w:r>
              <w:rPr>
                <w:b/>
                <w:i/>
              </w:rPr>
              <w:t>p-Value</w:t>
            </w:r>
          </w:p>
        </w:tc>
      </w:tr>
      <w:tr w:rsidR="00683056" w14:paraId="295C27D9" w14:textId="77777777" w:rsidTr="00AE23D3">
        <w:trPr>
          <w:trHeight w:val="254"/>
        </w:trPr>
        <w:tc>
          <w:tcPr>
            <w:tcW w:w="4058" w:type="dxa"/>
            <w:tcBorders>
              <w:top w:val="single" w:sz="4" w:space="0" w:color="000000"/>
            </w:tcBorders>
          </w:tcPr>
          <w:p w14:paraId="70C0533D" w14:textId="77777777" w:rsidR="00683056" w:rsidRDefault="00683056" w:rsidP="00FE6F5A">
            <w:pPr>
              <w:pStyle w:val="TableParagraph"/>
              <w:ind w:left="1519" w:right="1520"/>
              <w:jc w:val="center"/>
            </w:pPr>
            <w:r>
              <w:t>K0 vs K1</w:t>
            </w:r>
          </w:p>
        </w:tc>
        <w:tc>
          <w:tcPr>
            <w:tcW w:w="3814" w:type="dxa"/>
            <w:tcBorders>
              <w:top w:val="single" w:sz="4" w:space="0" w:color="000000"/>
            </w:tcBorders>
          </w:tcPr>
          <w:p w14:paraId="1D463496" w14:textId="77777777" w:rsidR="00683056" w:rsidRDefault="00683056" w:rsidP="00FE6F5A">
            <w:pPr>
              <w:pStyle w:val="TableParagraph"/>
              <w:ind w:left="1524" w:right="1524"/>
              <w:jc w:val="center"/>
            </w:pPr>
            <w:r>
              <w:t>0.000*</w:t>
            </w:r>
          </w:p>
        </w:tc>
      </w:tr>
      <w:tr w:rsidR="00683056" w14:paraId="4576D0A7" w14:textId="77777777" w:rsidTr="00AE23D3">
        <w:trPr>
          <w:trHeight w:val="252"/>
        </w:trPr>
        <w:tc>
          <w:tcPr>
            <w:tcW w:w="4058" w:type="dxa"/>
          </w:tcPr>
          <w:p w14:paraId="4F718300" w14:textId="77777777" w:rsidR="00683056" w:rsidRDefault="00683056" w:rsidP="00FE6F5A">
            <w:pPr>
              <w:pStyle w:val="TableParagraph"/>
              <w:ind w:left="1519" w:right="1517"/>
              <w:jc w:val="center"/>
            </w:pPr>
            <w:r>
              <w:t>K0 vs</w:t>
            </w:r>
            <w:r>
              <w:rPr>
                <w:spacing w:val="1"/>
              </w:rPr>
              <w:t xml:space="preserve"> </w:t>
            </w:r>
            <w:r>
              <w:t>P1</w:t>
            </w:r>
          </w:p>
        </w:tc>
        <w:tc>
          <w:tcPr>
            <w:tcW w:w="3814" w:type="dxa"/>
          </w:tcPr>
          <w:p w14:paraId="50BB88AA" w14:textId="77777777" w:rsidR="00683056" w:rsidRDefault="00683056" w:rsidP="00FE6F5A">
            <w:pPr>
              <w:pStyle w:val="TableParagraph"/>
              <w:ind w:left="1524" w:right="1524"/>
              <w:jc w:val="center"/>
            </w:pPr>
            <w:r>
              <w:t>0.000*</w:t>
            </w:r>
          </w:p>
        </w:tc>
      </w:tr>
      <w:tr w:rsidR="00683056" w14:paraId="5DED76B7" w14:textId="77777777" w:rsidTr="00AE23D3">
        <w:trPr>
          <w:trHeight w:val="252"/>
        </w:trPr>
        <w:tc>
          <w:tcPr>
            <w:tcW w:w="4058" w:type="dxa"/>
          </w:tcPr>
          <w:p w14:paraId="7A2F69E9" w14:textId="77777777" w:rsidR="00683056" w:rsidRDefault="00683056" w:rsidP="00FE6F5A">
            <w:pPr>
              <w:pStyle w:val="TableParagraph"/>
              <w:ind w:left="1519" w:right="1517"/>
              <w:jc w:val="center"/>
            </w:pPr>
            <w:r>
              <w:t>K0 vs</w:t>
            </w:r>
            <w:r>
              <w:rPr>
                <w:spacing w:val="1"/>
              </w:rPr>
              <w:t xml:space="preserve"> </w:t>
            </w:r>
            <w:r>
              <w:t>P2</w:t>
            </w:r>
          </w:p>
        </w:tc>
        <w:tc>
          <w:tcPr>
            <w:tcW w:w="3814" w:type="dxa"/>
          </w:tcPr>
          <w:p w14:paraId="07FF0848" w14:textId="77777777" w:rsidR="00683056" w:rsidRDefault="00683056" w:rsidP="00FE6F5A">
            <w:pPr>
              <w:pStyle w:val="TableParagraph"/>
              <w:ind w:left="1524" w:right="1524"/>
              <w:jc w:val="center"/>
            </w:pPr>
            <w:r>
              <w:t>0.000*</w:t>
            </w:r>
          </w:p>
        </w:tc>
      </w:tr>
      <w:tr w:rsidR="00683056" w14:paraId="6FB43611" w14:textId="77777777" w:rsidTr="00AE23D3">
        <w:trPr>
          <w:trHeight w:val="254"/>
        </w:trPr>
        <w:tc>
          <w:tcPr>
            <w:tcW w:w="4058" w:type="dxa"/>
          </w:tcPr>
          <w:p w14:paraId="79F02C09" w14:textId="77777777" w:rsidR="00683056" w:rsidRDefault="00683056" w:rsidP="00FE6F5A">
            <w:pPr>
              <w:pStyle w:val="TableParagraph"/>
              <w:ind w:left="1519" w:right="1517"/>
              <w:jc w:val="center"/>
            </w:pPr>
            <w:r>
              <w:t>K1 vs</w:t>
            </w:r>
            <w:r>
              <w:rPr>
                <w:spacing w:val="1"/>
              </w:rPr>
              <w:t xml:space="preserve"> </w:t>
            </w:r>
            <w:r>
              <w:t>P1</w:t>
            </w:r>
          </w:p>
        </w:tc>
        <w:tc>
          <w:tcPr>
            <w:tcW w:w="3814" w:type="dxa"/>
          </w:tcPr>
          <w:p w14:paraId="0DD64225" w14:textId="77777777" w:rsidR="00683056" w:rsidRDefault="00683056" w:rsidP="00FE6F5A">
            <w:pPr>
              <w:pStyle w:val="TableParagraph"/>
              <w:ind w:left="1524" w:right="1524"/>
              <w:jc w:val="center"/>
            </w:pPr>
            <w:r>
              <w:t>0.000*</w:t>
            </w:r>
          </w:p>
        </w:tc>
      </w:tr>
      <w:tr w:rsidR="00683056" w14:paraId="4187088F" w14:textId="77777777" w:rsidTr="00AE23D3">
        <w:trPr>
          <w:trHeight w:val="252"/>
        </w:trPr>
        <w:tc>
          <w:tcPr>
            <w:tcW w:w="4058" w:type="dxa"/>
          </w:tcPr>
          <w:p w14:paraId="6F8B25F4" w14:textId="77777777" w:rsidR="00683056" w:rsidRDefault="00683056" w:rsidP="00FE6F5A">
            <w:pPr>
              <w:pStyle w:val="TableParagraph"/>
              <w:ind w:left="1519" w:right="1517"/>
              <w:jc w:val="center"/>
            </w:pPr>
            <w:r>
              <w:t>K1 vs</w:t>
            </w:r>
            <w:r>
              <w:rPr>
                <w:spacing w:val="1"/>
              </w:rPr>
              <w:t xml:space="preserve"> </w:t>
            </w:r>
            <w:r>
              <w:t>P2</w:t>
            </w:r>
          </w:p>
        </w:tc>
        <w:tc>
          <w:tcPr>
            <w:tcW w:w="3814" w:type="dxa"/>
          </w:tcPr>
          <w:p w14:paraId="483C048A" w14:textId="77777777" w:rsidR="00683056" w:rsidRDefault="00683056" w:rsidP="00FE6F5A">
            <w:pPr>
              <w:pStyle w:val="TableParagraph"/>
              <w:ind w:left="1524" w:right="1524"/>
              <w:jc w:val="center"/>
            </w:pPr>
            <w:r>
              <w:t>0.000*</w:t>
            </w:r>
          </w:p>
        </w:tc>
      </w:tr>
      <w:tr w:rsidR="00683056" w14:paraId="16FA519B" w14:textId="77777777" w:rsidTr="00AE23D3">
        <w:trPr>
          <w:trHeight w:val="256"/>
        </w:trPr>
        <w:tc>
          <w:tcPr>
            <w:tcW w:w="4058" w:type="dxa"/>
            <w:tcBorders>
              <w:bottom w:val="single" w:sz="4" w:space="0" w:color="000000"/>
            </w:tcBorders>
          </w:tcPr>
          <w:p w14:paraId="74603B66" w14:textId="77777777" w:rsidR="00683056" w:rsidRDefault="00683056" w:rsidP="00FE6F5A">
            <w:pPr>
              <w:pStyle w:val="TableParagraph"/>
              <w:ind w:left="1519" w:right="1517"/>
              <w:jc w:val="center"/>
            </w:pPr>
            <w:r>
              <w:t>P1 vs</w:t>
            </w:r>
            <w:r>
              <w:rPr>
                <w:spacing w:val="1"/>
              </w:rPr>
              <w:t xml:space="preserve"> </w:t>
            </w:r>
            <w:r>
              <w:t>P2</w:t>
            </w:r>
          </w:p>
        </w:tc>
        <w:tc>
          <w:tcPr>
            <w:tcW w:w="3814" w:type="dxa"/>
            <w:tcBorders>
              <w:bottom w:val="single" w:sz="4" w:space="0" w:color="000000"/>
            </w:tcBorders>
          </w:tcPr>
          <w:p w14:paraId="2AD3B603" w14:textId="77777777" w:rsidR="00683056" w:rsidRDefault="00683056" w:rsidP="00FE6F5A">
            <w:pPr>
              <w:pStyle w:val="TableParagraph"/>
              <w:ind w:left="1524" w:right="1524"/>
              <w:jc w:val="center"/>
            </w:pPr>
            <w:r>
              <w:t>0.000*</w:t>
            </w:r>
          </w:p>
        </w:tc>
      </w:tr>
    </w:tbl>
    <w:p w14:paraId="620090EA" w14:textId="77777777" w:rsidR="00683056" w:rsidRPr="00194A7A" w:rsidRDefault="00683056" w:rsidP="00FE6F5A">
      <w:pPr>
        <w:spacing w:after="0" w:line="240" w:lineRule="auto"/>
        <w:jc w:val="both"/>
        <w:rPr>
          <w:rFonts w:ascii="Georgia" w:hAnsi="Georgia" w:cs="Times New Roman"/>
          <w:bCs/>
          <w:sz w:val="23"/>
          <w:szCs w:val="23"/>
          <w:lang w:val="id-ID"/>
        </w:rPr>
      </w:pPr>
    </w:p>
    <w:p w14:paraId="14FBCFA3" w14:textId="216ADDD5" w:rsidR="007634DA" w:rsidRDefault="007634DA" w:rsidP="00FE6F5A">
      <w:pPr>
        <w:spacing w:after="0" w:line="240" w:lineRule="auto"/>
        <w:jc w:val="both"/>
        <w:rPr>
          <w:rFonts w:ascii="Georgia" w:hAnsi="Georgia" w:cs="Times New Roman"/>
          <w:bCs/>
          <w:sz w:val="23"/>
          <w:szCs w:val="23"/>
          <w:lang w:val="id-ID"/>
        </w:rPr>
      </w:pPr>
      <w:r w:rsidRPr="007634DA">
        <w:rPr>
          <w:rFonts w:ascii="Georgia" w:hAnsi="Georgia" w:cs="Times New Roman"/>
          <w:bCs/>
          <w:sz w:val="23"/>
          <w:szCs w:val="23"/>
          <w:lang w:val="id-ID"/>
        </w:rPr>
        <w:t>Table 2 shows that the lowest mean LDL levels were in the control group (K0), followed by the first treatment group (P1) and the second treatment group (P2). The negative control group (K1) got the highest average LDL levels. The group was tested using the shapiro wilk test with the results of existing data that were normally distributed (p&gt;0.05) and using the levene test for homogeneity showed homogeneous results (p=0.711) then data analysis using One Way Anova and showed meaningful differences between groups (p=0.000) to find out which group was meaningful to do post Hoc test with Tukey test as presented in table 3</w:t>
      </w:r>
      <w:r>
        <w:rPr>
          <w:rFonts w:ascii="Georgia" w:hAnsi="Georgia" w:cs="Times New Roman"/>
          <w:bCs/>
          <w:sz w:val="23"/>
          <w:szCs w:val="23"/>
          <w:lang w:val="id-ID"/>
        </w:rPr>
        <w:t xml:space="preserve">. </w:t>
      </w:r>
    </w:p>
    <w:p w14:paraId="1BCCF425" w14:textId="77777777" w:rsidR="002B7D8B" w:rsidRDefault="002B7D8B" w:rsidP="00FE6F5A">
      <w:pPr>
        <w:spacing w:after="0" w:line="240" w:lineRule="auto"/>
        <w:jc w:val="both"/>
        <w:rPr>
          <w:rFonts w:ascii="Georgia" w:hAnsi="Georgia" w:cs="Times New Roman"/>
          <w:bCs/>
          <w:sz w:val="23"/>
          <w:szCs w:val="23"/>
          <w:lang w:val="id-ID"/>
        </w:rPr>
      </w:pPr>
    </w:p>
    <w:p w14:paraId="2405D994" w14:textId="62DBCE8B" w:rsidR="007634DA" w:rsidRDefault="007634DA" w:rsidP="00FE6F5A">
      <w:pPr>
        <w:spacing w:after="0" w:line="240" w:lineRule="auto"/>
        <w:jc w:val="both"/>
        <w:rPr>
          <w:rFonts w:ascii="Georgia" w:hAnsi="Georgia" w:cs="Times New Roman"/>
          <w:b/>
          <w:sz w:val="23"/>
          <w:szCs w:val="23"/>
          <w:lang w:val="id-ID"/>
        </w:rPr>
      </w:pPr>
      <w:r w:rsidRPr="007634DA">
        <w:rPr>
          <w:rFonts w:ascii="Georgia" w:hAnsi="Georgia" w:cs="Times New Roman"/>
          <w:b/>
          <w:sz w:val="23"/>
          <w:szCs w:val="23"/>
          <w:lang w:val="id-ID"/>
        </w:rPr>
        <w:t>IL-6</w:t>
      </w:r>
      <w:r w:rsidR="00194A7A">
        <w:rPr>
          <w:rFonts w:ascii="Georgia" w:hAnsi="Georgia" w:cs="Times New Roman"/>
          <w:b/>
          <w:sz w:val="23"/>
          <w:szCs w:val="23"/>
          <w:lang w:val="id-ID"/>
        </w:rPr>
        <w:t xml:space="preserve"> Levels</w:t>
      </w:r>
    </w:p>
    <w:p w14:paraId="258FA8E7" w14:textId="7ABB7E6B" w:rsidR="00683056" w:rsidRDefault="00683056" w:rsidP="00FE6F5A">
      <w:pPr>
        <w:spacing w:after="0" w:line="240" w:lineRule="auto"/>
        <w:jc w:val="both"/>
        <w:rPr>
          <w:rFonts w:ascii="Georgia" w:hAnsi="Georgia" w:cs="Times New Roman"/>
          <w:bCs/>
          <w:sz w:val="23"/>
          <w:szCs w:val="23"/>
          <w:lang w:val="id-ID"/>
        </w:rPr>
      </w:pPr>
      <w:r w:rsidRPr="00683056">
        <w:rPr>
          <w:rFonts w:ascii="Georgia" w:hAnsi="Georgia" w:cs="Times New Roman"/>
          <w:bCs/>
          <w:sz w:val="23"/>
          <w:szCs w:val="23"/>
          <w:lang w:val="id-ID"/>
        </w:rPr>
        <w:t>Table.3 Differences in LDL levels between 2 groups using the Tukey test</w:t>
      </w:r>
    </w:p>
    <w:tbl>
      <w:tblPr>
        <w:tblW w:w="0" w:type="auto"/>
        <w:tblInd w:w="906" w:type="dxa"/>
        <w:tblLayout w:type="fixed"/>
        <w:tblCellMar>
          <w:left w:w="0" w:type="dxa"/>
          <w:right w:w="0" w:type="dxa"/>
        </w:tblCellMar>
        <w:tblLook w:val="01E0" w:firstRow="1" w:lastRow="1" w:firstColumn="1" w:lastColumn="1" w:noHBand="0" w:noVBand="0"/>
      </w:tblPr>
      <w:tblGrid>
        <w:gridCol w:w="3986"/>
        <w:gridCol w:w="3886"/>
      </w:tblGrid>
      <w:tr w:rsidR="00683056" w14:paraId="376B73F5" w14:textId="77777777" w:rsidTr="00AE23D3">
        <w:trPr>
          <w:trHeight w:val="254"/>
        </w:trPr>
        <w:tc>
          <w:tcPr>
            <w:tcW w:w="3986" w:type="dxa"/>
            <w:tcBorders>
              <w:top w:val="single" w:sz="4" w:space="0" w:color="000000"/>
              <w:bottom w:val="single" w:sz="4" w:space="0" w:color="000000"/>
            </w:tcBorders>
          </w:tcPr>
          <w:p w14:paraId="1034DC9C" w14:textId="77777777" w:rsidR="00683056" w:rsidRDefault="00683056" w:rsidP="00FE6F5A">
            <w:pPr>
              <w:pStyle w:val="TableParagraph"/>
              <w:ind w:left="1447" w:right="1520"/>
              <w:jc w:val="center"/>
              <w:rPr>
                <w:b/>
              </w:rPr>
            </w:pPr>
            <w:r>
              <w:rPr>
                <w:b/>
              </w:rPr>
              <w:t>Kelompok</w:t>
            </w:r>
          </w:p>
        </w:tc>
        <w:tc>
          <w:tcPr>
            <w:tcW w:w="3886" w:type="dxa"/>
            <w:tcBorders>
              <w:top w:val="single" w:sz="4" w:space="0" w:color="000000"/>
              <w:bottom w:val="single" w:sz="4" w:space="0" w:color="000000"/>
            </w:tcBorders>
          </w:tcPr>
          <w:p w14:paraId="57000923" w14:textId="77777777" w:rsidR="00683056" w:rsidRDefault="00683056" w:rsidP="00FE6F5A">
            <w:pPr>
              <w:pStyle w:val="TableParagraph"/>
              <w:ind w:right="1619"/>
              <w:rPr>
                <w:b/>
                <w:i/>
              </w:rPr>
            </w:pPr>
            <w:r>
              <w:rPr>
                <w:b/>
                <w:i/>
              </w:rPr>
              <w:t>p-Value</w:t>
            </w:r>
          </w:p>
        </w:tc>
      </w:tr>
      <w:tr w:rsidR="00683056" w14:paraId="6A88AC00" w14:textId="77777777" w:rsidTr="00AE23D3">
        <w:trPr>
          <w:trHeight w:val="254"/>
        </w:trPr>
        <w:tc>
          <w:tcPr>
            <w:tcW w:w="3986" w:type="dxa"/>
            <w:tcBorders>
              <w:top w:val="single" w:sz="4" w:space="0" w:color="000000"/>
            </w:tcBorders>
          </w:tcPr>
          <w:p w14:paraId="304C5B97" w14:textId="77777777" w:rsidR="00683056" w:rsidRDefault="00683056" w:rsidP="00FE6F5A">
            <w:pPr>
              <w:pStyle w:val="TableParagraph"/>
              <w:ind w:left="1447" w:right="1518"/>
              <w:jc w:val="center"/>
            </w:pPr>
            <w:r>
              <w:t>K0 vs K1</w:t>
            </w:r>
          </w:p>
        </w:tc>
        <w:tc>
          <w:tcPr>
            <w:tcW w:w="3886" w:type="dxa"/>
            <w:tcBorders>
              <w:top w:val="single" w:sz="4" w:space="0" w:color="000000"/>
            </w:tcBorders>
          </w:tcPr>
          <w:p w14:paraId="7C6284AC" w14:textId="77777777" w:rsidR="00683056" w:rsidRDefault="00683056" w:rsidP="00FE6F5A">
            <w:pPr>
              <w:pStyle w:val="TableParagraph"/>
              <w:ind w:right="1675"/>
            </w:pPr>
            <w:r>
              <w:t>0.000*</w:t>
            </w:r>
          </w:p>
        </w:tc>
      </w:tr>
      <w:tr w:rsidR="00683056" w14:paraId="439B6330" w14:textId="77777777" w:rsidTr="00AE23D3">
        <w:trPr>
          <w:trHeight w:val="252"/>
        </w:trPr>
        <w:tc>
          <w:tcPr>
            <w:tcW w:w="3986" w:type="dxa"/>
          </w:tcPr>
          <w:p w14:paraId="183B5D09" w14:textId="77777777" w:rsidR="00683056" w:rsidRDefault="00683056" w:rsidP="00FE6F5A">
            <w:pPr>
              <w:pStyle w:val="TableParagraph"/>
              <w:ind w:left="1447" w:right="1514"/>
              <w:jc w:val="center"/>
            </w:pPr>
            <w:r>
              <w:t>K0 vs</w:t>
            </w:r>
            <w:r>
              <w:rPr>
                <w:spacing w:val="1"/>
              </w:rPr>
              <w:t xml:space="preserve"> </w:t>
            </w:r>
            <w:r>
              <w:t>P1</w:t>
            </w:r>
          </w:p>
        </w:tc>
        <w:tc>
          <w:tcPr>
            <w:tcW w:w="3886" w:type="dxa"/>
          </w:tcPr>
          <w:p w14:paraId="386CDE5D" w14:textId="77777777" w:rsidR="00683056" w:rsidRDefault="00683056" w:rsidP="00FE6F5A">
            <w:pPr>
              <w:pStyle w:val="TableParagraph"/>
              <w:ind w:right="1675"/>
            </w:pPr>
            <w:r>
              <w:t>0.000*</w:t>
            </w:r>
          </w:p>
        </w:tc>
      </w:tr>
      <w:tr w:rsidR="00683056" w14:paraId="74CF6810" w14:textId="77777777" w:rsidTr="00AE23D3">
        <w:trPr>
          <w:trHeight w:val="252"/>
        </w:trPr>
        <w:tc>
          <w:tcPr>
            <w:tcW w:w="3986" w:type="dxa"/>
          </w:tcPr>
          <w:p w14:paraId="3B38F444" w14:textId="77777777" w:rsidR="00683056" w:rsidRDefault="00683056" w:rsidP="00FE6F5A">
            <w:pPr>
              <w:pStyle w:val="TableParagraph"/>
              <w:ind w:left="1447" w:right="1514"/>
              <w:jc w:val="center"/>
            </w:pPr>
            <w:r>
              <w:t>K0 vs</w:t>
            </w:r>
            <w:r>
              <w:rPr>
                <w:spacing w:val="1"/>
              </w:rPr>
              <w:t xml:space="preserve"> </w:t>
            </w:r>
            <w:r>
              <w:t>P2</w:t>
            </w:r>
          </w:p>
        </w:tc>
        <w:tc>
          <w:tcPr>
            <w:tcW w:w="3886" w:type="dxa"/>
          </w:tcPr>
          <w:p w14:paraId="12FFA7A7" w14:textId="77777777" w:rsidR="00683056" w:rsidRDefault="00683056" w:rsidP="00FE6F5A">
            <w:pPr>
              <w:pStyle w:val="TableParagraph"/>
              <w:ind w:right="1675"/>
            </w:pPr>
            <w:r>
              <w:t>0.000*</w:t>
            </w:r>
          </w:p>
        </w:tc>
      </w:tr>
      <w:tr w:rsidR="00683056" w14:paraId="3F61351A" w14:textId="77777777" w:rsidTr="00AE23D3">
        <w:trPr>
          <w:trHeight w:val="254"/>
        </w:trPr>
        <w:tc>
          <w:tcPr>
            <w:tcW w:w="3986" w:type="dxa"/>
          </w:tcPr>
          <w:p w14:paraId="53D82912" w14:textId="77777777" w:rsidR="00683056" w:rsidRDefault="00683056" w:rsidP="00FE6F5A">
            <w:pPr>
              <w:pStyle w:val="TableParagraph"/>
              <w:ind w:left="1447" w:right="1514"/>
              <w:jc w:val="center"/>
            </w:pPr>
            <w:r>
              <w:t>K1 vs</w:t>
            </w:r>
            <w:r>
              <w:rPr>
                <w:spacing w:val="1"/>
              </w:rPr>
              <w:t xml:space="preserve"> </w:t>
            </w:r>
            <w:r>
              <w:t>P1</w:t>
            </w:r>
          </w:p>
        </w:tc>
        <w:tc>
          <w:tcPr>
            <w:tcW w:w="3886" w:type="dxa"/>
          </w:tcPr>
          <w:p w14:paraId="26AC69BD" w14:textId="77777777" w:rsidR="00683056" w:rsidRDefault="00683056" w:rsidP="00FE6F5A">
            <w:pPr>
              <w:pStyle w:val="TableParagraph"/>
              <w:ind w:right="1675"/>
            </w:pPr>
            <w:r>
              <w:t>0.000*</w:t>
            </w:r>
          </w:p>
        </w:tc>
      </w:tr>
      <w:tr w:rsidR="00683056" w14:paraId="65451640" w14:textId="77777777" w:rsidTr="00AE23D3">
        <w:trPr>
          <w:trHeight w:val="252"/>
        </w:trPr>
        <w:tc>
          <w:tcPr>
            <w:tcW w:w="3986" w:type="dxa"/>
          </w:tcPr>
          <w:p w14:paraId="0F3EFE31" w14:textId="77777777" w:rsidR="00683056" w:rsidRDefault="00683056" w:rsidP="00FE6F5A">
            <w:pPr>
              <w:pStyle w:val="TableParagraph"/>
              <w:ind w:left="1447" w:right="1514"/>
              <w:jc w:val="center"/>
            </w:pPr>
            <w:r>
              <w:lastRenderedPageBreak/>
              <w:t>K1 vs</w:t>
            </w:r>
            <w:r>
              <w:rPr>
                <w:spacing w:val="1"/>
              </w:rPr>
              <w:t xml:space="preserve"> </w:t>
            </w:r>
            <w:r>
              <w:t>P2</w:t>
            </w:r>
          </w:p>
        </w:tc>
        <w:tc>
          <w:tcPr>
            <w:tcW w:w="3886" w:type="dxa"/>
          </w:tcPr>
          <w:p w14:paraId="7EAA45CF" w14:textId="77777777" w:rsidR="00683056" w:rsidRDefault="00683056" w:rsidP="00FE6F5A">
            <w:pPr>
              <w:pStyle w:val="TableParagraph"/>
              <w:ind w:right="1675"/>
            </w:pPr>
            <w:r>
              <w:t>0.000*</w:t>
            </w:r>
          </w:p>
        </w:tc>
      </w:tr>
      <w:tr w:rsidR="00683056" w14:paraId="7C99ED18" w14:textId="77777777" w:rsidTr="00AE23D3">
        <w:trPr>
          <w:trHeight w:val="256"/>
        </w:trPr>
        <w:tc>
          <w:tcPr>
            <w:tcW w:w="3986" w:type="dxa"/>
            <w:tcBorders>
              <w:bottom w:val="single" w:sz="4" w:space="0" w:color="000000"/>
            </w:tcBorders>
          </w:tcPr>
          <w:p w14:paraId="26737F6D" w14:textId="77777777" w:rsidR="00683056" w:rsidRDefault="00683056" w:rsidP="00FE6F5A">
            <w:pPr>
              <w:pStyle w:val="TableParagraph"/>
              <w:ind w:left="1447" w:right="1514"/>
              <w:jc w:val="center"/>
            </w:pPr>
            <w:r>
              <w:t>P1 vs</w:t>
            </w:r>
            <w:r>
              <w:rPr>
                <w:spacing w:val="1"/>
              </w:rPr>
              <w:t xml:space="preserve"> </w:t>
            </w:r>
            <w:r>
              <w:t>P2</w:t>
            </w:r>
          </w:p>
        </w:tc>
        <w:tc>
          <w:tcPr>
            <w:tcW w:w="3886" w:type="dxa"/>
            <w:tcBorders>
              <w:bottom w:val="single" w:sz="4" w:space="0" w:color="000000"/>
            </w:tcBorders>
          </w:tcPr>
          <w:p w14:paraId="37EC3AD6" w14:textId="77777777" w:rsidR="00683056" w:rsidRDefault="00683056" w:rsidP="00FE6F5A">
            <w:pPr>
              <w:pStyle w:val="TableParagraph"/>
              <w:ind w:right="1673"/>
            </w:pPr>
            <w:r>
              <w:t>0.045*</w:t>
            </w:r>
          </w:p>
        </w:tc>
      </w:tr>
    </w:tbl>
    <w:p w14:paraId="05EDBEBE" w14:textId="77777777" w:rsidR="00683056" w:rsidRPr="00683056" w:rsidRDefault="00683056" w:rsidP="00FE6F5A">
      <w:pPr>
        <w:spacing w:after="0" w:line="240" w:lineRule="auto"/>
        <w:jc w:val="both"/>
        <w:rPr>
          <w:rFonts w:ascii="Georgia" w:hAnsi="Georgia" w:cs="Times New Roman"/>
          <w:bCs/>
          <w:sz w:val="23"/>
          <w:szCs w:val="23"/>
          <w:lang w:val="id-ID"/>
        </w:rPr>
      </w:pPr>
    </w:p>
    <w:p w14:paraId="34DC5C85" w14:textId="760CF977" w:rsidR="007634DA" w:rsidRDefault="007634DA" w:rsidP="00FE6F5A">
      <w:pPr>
        <w:spacing w:after="0" w:line="240" w:lineRule="auto"/>
        <w:jc w:val="both"/>
        <w:rPr>
          <w:rFonts w:ascii="Georgia" w:hAnsi="Georgia" w:cs="Times New Roman"/>
          <w:bCs/>
          <w:sz w:val="23"/>
          <w:szCs w:val="23"/>
          <w:lang w:val="id-ID"/>
        </w:rPr>
      </w:pPr>
      <w:r w:rsidRPr="007634DA">
        <w:rPr>
          <w:rFonts w:ascii="Georgia" w:hAnsi="Georgia" w:cs="Times New Roman"/>
          <w:bCs/>
          <w:sz w:val="23"/>
          <w:szCs w:val="23"/>
          <w:lang w:val="id-ID"/>
        </w:rPr>
        <w:t xml:space="preserve">Table 2 shows that the lowest mean IL-6 levels were in the control group (K0), followed by the treatment group (P1) and the second treatment group (P2). The negative control group (K1) got the highest average IL-6 levels. The group was tested using the shapiro wilk test with normal distributed data results (p&gt;0.05) and using the levene test for homogeneity showed homogeneous results (p=0.098), then data analysis using the One Way Anova parametric test. One Way Anova test results showed significant differences between groups (p=0.000). To find out which groups are different, post Hoc test is carried out with Tukey test as presented in table </w:t>
      </w:r>
      <w:r>
        <w:rPr>
          <w:rFonts w:ascii="Georgia" w:hAnsi="Georgia" w:cs="Times New Roman"/>
          <w:bCs/>
          <w:sz w:val="23"/>
          <w:szCs w:val="23"/>
          <w:lang w:val="id-ID"/>
        </w:rPr>
        <w:t>4.</w:t>
      </w:r>
    </w:p>
    <w:p w14:paraId="12C86386" w14:textId="77777777" w:rsidR="007634DA" w:rsidRPr="0025266C" w:rsidRDefault="007634DA" w:rsidP="00FE6F5A">
      <w:pPr>
        <w:spacing w:after="0" w:line="240" w:lineRule="auto"/>
        <w:jc w:val="both"/>
        <w:rPr>
          <w:rFonts w:ascii="Georgia" w:hAnsi="Georgia" w:cs="Times New Roman"/>
          <w:b/>
          <w:sz w:val="23"/>
          <w:szCs w:val="23"/>
        </w:rPr>
      </w:pPr>
      <w:r w:rsidRPr="0025266C">
        <w:rPr>
          <w:rFonts w:ascii="Georgia" w:hAnsi="Georgia" w:cs="Times New Roman"/>
          <w:b/>
          <w:sz w:val="23"/>
          <w:szCs w:val="23"/>
        </w:rPr>
        <w:t>4. Discussion:</w:t>
      </w:r>
    </w:p>
    <w:p w14:paraId="6ACB42A3" w14:textId="7629D690" w:rsidR="007634DA" w:rsidRDefault="00D96D0C" w:rsidP="00FE6F5A">
      <w:pPr>
        <w:spacing w:after="0" w:line="240" w:lineRule="auto"/>
        <w:jc w:val="both"/>
        <w:rPr>
          <w:rFonts w:ascii="Georgia" w:hAnsi="Georgia" w:cs="Times New Roman"/>
          <w:bCs/>
          <w:sz w:val="23"/>
          <w:szCs w:val="23"/>
          <w:lang w:val="id-ID"/>
        </w:rPr>
      </w:pPr>
      <w:r w:rsidRPr="00D96D0C">
        <w:rPr>
          <w:rFonts w:ascii="Georgia" w:hAnsi="Georgia" w:cs="Times New Roman"/>
          <w:bCs/>
          <w:sz w:val="23"/>
          <w:szCs w:val="23"/>
          <w:lang w:val="id-ID"/>
        </w:rPr>
        <w:t>Hypercholesterol is a condition where there is an increase in cholesterol levels in the blood and the trigger is the High fat diet lifestyle. Hypercholesterol contributes to oxidative stress that can cause tissue damage or inflammation. The K1, P1, and P2 treatment groups showed an increase in cholesterol levels (&gt;200 mg/dL) after being given each high-cholesterol diet by 4 mL perorally for 7 days.</w:t>
      </w:r>
      <w:r>
        <w:rPr>
          <w:rFonts w:ascii="Georgia" w:hAnsi="Georgia" w:cs="Times New Roman"/>
          <w:bCs/>
          <w:sz w:val="23"/>
          <w:szCs w:val="23"/>
          <w:lang w:val="id-ID"/>
        </w:rPr>
        <w:t xml:space="preserve"> </w:t>
      </w:r>
      <w:r w:rsidRPr="00D96D0C">
        <w:rPr>
          <w:rFonts w:ascii="Georgia" w:hAnsi="Georgia" w:cs="Times New Roman"/>
          <w:bCs/>
          <w:sz w:val="23"/>
          <w:szCs w:val="23"/>
          <w:lang w:val="id-ID"/>
        </w:rPr>
        <w:t>The increase in HDL cholesterol levels was found in the P1 treatment group who were given a high cholesterol diet and given VCO at a dose of 0.9 mL / 200 g BB / day experienced insignificant differences with the control group and the P2 group who were given a high cholesterol diet and given VCO at a dose of 0.45 mL / 200 g. Meanwhile, the decrease in LDL cholesterol levels was found in the P1 treatment group who were given a high-cholesterol diet and given VCO at a dose of 0.9 mL / 200 g BB / day experienced significant differences with the control group and the P2 group who were given a high-cholesterol diet and given VCO at a dose of 0.45 mL / 200 g.</w:t>
      </w:r>
      <w:r>
        <w:rPr>
          <w:rFonts w:ascii="Georgia" w:hAnsi="Georgia" w:cs="Times New Roman"/>
          <w:bCs/>
          <w:sz w:val="23"/>
          <w:szCs w:val="23"/>
          <w:lang w:val="id-ID"/>
        </w:rPr>
        <w:t xml:space="preserve"> </w:t>
      </w:r>
      <w:r w:rsidRPr="00D96D0C">
        <w:rPr>
          <w:rFonts w:ascii="Georgia" w:hAnsi="Georgia" w:cs="Times New Roman"/>
          <w:bCs/>
          <w:sz w:val="23"/>
          <w:szCs w:val="23"/>
          <w:lang w:val="id-ID"/>
        </w:rPr>
        <w:t>This is because VCO contains MCTs that can function as ligands that can activate PPAR-α receptors which play an important role in lipid metabolism. Activation of PPAR-α will improve the regulation of genes related to the oxidation of fatty acids such as carnitine palmitoyl transferase (CPT 1) and acyl CoA oxidase so that it can suppress postprandial lipidemia and lipid accumulation, and will increase the activity of reserve cholesterol transport.9 Previous research results also said that giving 10% VCO in diabetic mice for 3 weeks showed that there was a decrease in triglyceride concentration,  total cholesterol, LDL, VLDL, and enhancement on HDL parameters</w:t>
      </w:r>
      <w:r>
        <w:rPr>
          <w:rFonts w:ascii="Georgia" w:hAnsi="Georgia" w:cs="Times New Roman"/>
          <w:bCs/>
          <w:sz w:val="23"/>
          <w:szCs w:val="23"/>
          <w:lang w:val="id-ID"/>
        </w:rPr>
        <w:t xml:space="preserve"> </w:t>
      </w:r>
      <w:r>
        <w:rPr>
          <w:rFonts w:ascii="Georgia" w:hAnsi="Georgia" w:cs="Times New Roman"/>
          <w:bCs/>
          <w:sz w:val="23"/>
          <w:szCs w:val="23"/>
          <w:lang w:val="id-ID"/>
        </w:rPr>
        <w:fldChar w:fldCharType="begin" w:fldLock="1"/>
      </w:r>
      <w:r>
        <w:rPr>
          <w:rFonts w:ascii="Georgia" w:hAnsi="Georgia" w:cs="Times New Roman"/>
          <w:bCs/>
          <w:sz w:val="23"/>
          <w:szCs w:val="23"/>
          <w:lang w:val="id-ID"/>
        </w:rPr>
        <w:instrText>ADDIN CSL_CITATION {"citationItems":[{"id":"ITEM-1","itemData":{"DOI":"10.5251/abjna.2010.1.6.1126.1132","abstract":"The present study explored the effect of virgin coconut oil on oxidative stress, testosterone and gonadotropic hormones in alcohol-induced testicular injury. Twenty-five male rats were randomly assigned to one of five groups (n=5). The oil was processed from the mature endosperm of coconut and administered at 6.7 ml/kg body weight, while alcohol was given orally at 7 ml/kg body weight. After sacrifice, testicular malondialdehyde and serum hormone levels were determined. Testicular malondialdehyde levels increased significantly in animals treated with alcohol alone (p &lt; 0.001), and animals treated with alcohol following virgin coconut oil treatment (p &lt; 0.05) while the other groups showed a significant decrease (p &lt; 0.05) when compared with the control. However, when compared with the group treated with alcohol alone, all the other groups showed a significant decrease (p &lt; 0.05) in testicular malondialdehyde level. Serum testosterone levels increased significantly (p &lt; 0.05) in rats treated with virgin coconut oil when compared with the alcohol-only treated group, while serum FSH and LH levels were not significantly different from the control values in all the treatment groups. Virgin coconut oil effectively lowered alcohol-induced oxidative stress by reducing testicular malondialdehyde levels and ameliorated the deleterious effect of alcohol on serum testosterone level, but showed no effect on serum FSH and LH levels.","author":[{"dropping-particle":"","family":"Dosumu","given":"O.","non-dropping-particle":"","parse-names":false,"suffix":""},{"dropping-particle":"","family":"Duru","given":"F.","non-dropping-particle":"","parse-names":false,"suffix":""},{"dropping-particle":"","family":"Osinubi","given":"A.","non-dropping-particle":"","parse-names":false,"suffix":""},{"dropping-particle":"","family":"Oremosu","given":"A.","non-dropping-particle":"","parse-names":false,"suffix":""},{"dropping-particle":"","family":"Noronha","given":"C.","non-dropping-particle":"","parse-names":false,"suffix":""}],"container-title":"Agriculture and Biology Journal of North America","id":"ITEM-1","issue":"6","issued":{"date-parts":[["2010"]]},"page":"1126-1132","title":"Influence of virgin coconut oil (VCNO) on oxidative stress, serum testosterone and gonadotropic hormones (FSH, LH) in chronic ethanol ingestion","type":"article-journal","volume":"1"},"uris":["http://www.mendeley.com/documents/?uuid=7952597a-827e-4808-9b09-270adc8ded45"]}],"mendeley":{"formattedCitation":"(Dosumu et al., 2010)","plainTextFormattedCitation":"(Dosumu et al., 2010)","previouslyFormattedCitation":"(Dosumu et al., 2010)"},"properties":{"noteIndex":0},"schema":"https://github.com/citation-style-language/schema/raw/master/csl-citation.json"}</w:instrText>
      </w:r>
      <w:r>
        <w:rPr>
          <w:rFonts w:ascii="Georgia" w:hAnsi="Georgia" w:cs="Times New Roman"/>
          <w:bCs/>
          <w:sz w:val="23"/>
          <w:szCs w:val="23"/>
          <w:lang w:val="id-ID"/>
        </w:rPr>
        <w:fldChar w:fldCharType="separate"/>
      </w:r>
      <w:r w:rsidRPr="00D96D0C">
        <w:rPr>
          <w:rFonts w:ascii="Georgia" w:hAnsi="Georgia" w:cs="Times New Roman"/>
          <w:bCs/>
          <w:noProof/>
          <w:sz w:val="23"/>
          <w:szCs w:val="23"/>
          <w:lang w:val="id-ID"/>
        </w:rPr>
        <w:t>(Dosumu et al., 2010)</w:t>
      </w:r>
      <w:r>
        <w:rPr>
          <w:rFonts w:ascii="Georgia" w:hAnsi="Georgia" w:cs="Times New Roman"/>
          <w:bCs/>
          <w:sz w:val="23"/>
          <w:szCs w:val="23"/>
          <w:lang w:val="id-ID"/>
        </w:rPr>
        <w:fldChar w:fldCharType="end"/>
      </w:r>
      <w:r>
        <w:rPr>
          <w:rFonts w:ascii="Georgia" w:hAnsi="Georgia" w:cs="Times New Roman"/>
          <w:bCs/>
          <w:sz w:val="23"/>
          <w:szCs w:val="23"/>
          <w:lang w:val="id-ID"/>
        </w:rPr>
        <w:t xml:space="preserve">. </w:t>
      </w:r>
      <w:r w:rsidRPr="00D96D0C">
        <w:rPr>
          <w:rFonts w:ascii="Georgia" w:hAnsi="Georgia" w:cs="Times New Roman"/>
          <w:bCs/>
          <w:sz w:val="23"/>
          <w:szCs w:val="23"/>
          <w:lang w:val="id-ID"/>
        </w:rPr>
        <w:t>a high-cholesterol diet can increase cholesterol synthesis in the liver through increased activity of the enzyme HMG-CoA, which is a catalyst from the first stage in cholesterol biosynthesis causing an increase in LDL cholesterol levels in the blood.58 This study is in line with research conducted by Venti where the results of his study stated that the administration of VCO 0.8 mL /day in male white rats of the wistar strain who were given a high cholesterol diet,  able to lower the lipid profile</w:t>
      </w:r>
      <w:r>
        <w:rPr>
          <w:rFonts w:ascii="Georgia" w:hAnsi="Georgia" w:cs="Times New Roman"/>
          <w:bCs/>
          <w:sz w:val="23"/>
          <w:szCs w:val="23"/>
          <w:lang w:val="id-ID"/>
        </w:rPr>
        <w:t xml:space="preserve"> </w:t>
      </w:r>
      <w:r>
        <w:rPr>
          <w:rFonts w:ascii="Georgia" w:hAnsi="Georgia" w:cs="Times New Roman"/>
          <w:bCs/>
          <w:sz w:val="23"/>
          <w:szCs w:val="23"/>
          <w:lang w:val="id-ID"/>
        </w:rPr>
        <w:fldChar w:fldCharType="begin" w:fldLock="1"/>
      </w:r>
      <w:r>
        <w:rPr>
          <w:rFonts w:ascii="Georgia" w:hAnsi="Georgia" w:cs="Times New Roman"/>
          <w:bCs/>
          <w:sz w:val="23"/>
          <w:szCs w:val="23"/>
          <w:lang w:val="id-ID"/>
        </w:rPr>
        <w:instrText>ADDIN CSL_CITATION {"citationItems":[{"id":"ITEM-1","itemData":{"DOI":"10.14710/jnc.v2i3.3431","ISSN":"2337-6236","abstract":"Latar Belakang   : Dislipidemia sebagai faktor risiko utama penyakit kardiovaskular merupakan suatu keadaan yang ditandai dengan peningkatan konsentrasi kolesterol total, kolesterol LDL (Low Density Lipoprotein), dan trigliserida serta penurunan konsentrasi kolesterol HDL (High Density Lipoprotein) dari batas normal. Parameter paling akurat dalam memprediksi penyakit tersebut adalah perbandingan nilai kolesterol LDL dan HDL yang disebut rasio kolesterol LDL:HDL. Pengendalian dislipidemia dapat dilakukan melalui modifikasi diet, salah satunya dengan meningkatkan konsumsi makanan sumber efek hipolipidemik. Biji pepaya merupakan biji yang memiliki efek hipolipidemia dan antioksidan melalui zat fitokimia yang dikandungnya meliputi flavonoid, saponin dan tannin. Tujuan : Menganalisis pengaruh pemberian jus biji pepaya terhadap rasio kolesterol LDL:HDL tikus Sprague Dawley dislipidemia.Hasil : Pemberian jus biji pepaya yang mengandung 646,1 mg flavonoid, 69,3 mg saponin, dan 140,9 mg tanin tiap 100 gram pada dosis 400 mg dan 800 mg mampu menurunkan rasio kolesterol LDL:HDL dari 2,64±0,70 menjadi 2,25±0,54 dan 2,94±1,01 menjadi 2,11±0,65 pada tikus Sprague Dawley dislipidemia dengan diet kolesterol 42,7834 mg/hari, namun tidak bermakna (p&gt;0,05). Tidak terdapat perbedaan bermakna (p&gt;0,05) antar kelompok.Metode : Jenis penelitian ini adalah true-experimental laboratorik dengan pre and post test with randomized control group design. Subjek penelitian yaitu 28 ekor tikus Sprague Dawley jantan berusia 8 minggu dengan berat 150-180 gram yang diinduksi dislipidemia, diberi jus biji pepaya dengan dosis 400 mg dan 800 mg per hari selama 30 hari. Rasio kolesterol LDL:HDL didapat dari perbandingan kadar kolesterol LDL dengan kolesterol HDL dimana kolesterol LDL dan kolesterol HDL ditentukan menggunakan reagen diasis dan metode CHOD-PAP. Normalitas data diuji dengan Shapiro Wilks. Data dianalisis menggunakan uji Paired t-test, One Way Anova dan LSD.Simpulan : Jus biji pepaya pada dosis 400 mg/ekor/hari dan 800 mg/ekor/hari selama 30 hari mampu menurunkan rasio kolesterol LDL:HDL tikus Sprague Dawley dislipidemia, namun tidak bermakna. Tidak terdapat perbedaan efektivitas antara dosis 400 mg dan 800 mg.","author":[{"dropping-particle":"","family":"Agustina","given":"Dyah","non-dropping-particle":"","parse-names":false,"suffix":""},{"dropping-particle":"","family":"Murwani R","given":"Hesti","non-dropping-particle":"","parse-names":false,"suffix":""}],"container-title":"Journal of Nutrition College","id":"ITEM-1","issue":"3","issued":{"date-parts":[["2013"]]},"page":"302-311","title":"Pengaruh Pemberian Jus Biji Pepaya (Carica Papaya L.) Terhadap Rasio Kolesterol Ldl:Hdl Tikus Sprague Dawley Dislipidemia","type":"article-journal","volume":"2"},"uris":["http://www.mendeley.com/documents/?uuid=a3c03103-d636-4d5f-8ead-1b19b59f9e10"]}],"mendeley":{"formattedCitation":"(Agustina &amp; Murwani R, 2013)","plainTextFormattedCitation":"(Agustina &amp; Murwani R, 2013)","previouslyFormattedCitation":"(Agustina &amp; Murwani R, 2013)"},"properties":{"noteIndex":0},"schema":"https://github.com/citation-style-language/schema/raw/master/csl-citation.json"}</w:instrText>
      </w:r>
      <w:r>
        <w:rPr>
          <w:rFonts w:ascii="Georgia" w:hAnsi="Georgia" w:cs="Times New Roman"/>
          <w:bCs/>
          <w:sz w:val="23"/>
          <w:szCs w:val="23"/>
          <w:lang w:val="id-ID"/>
        </w:rPr>
        <w:fldChar w:fldCharType="separate"/>
      </w:r>
      <w:r w:rsidRPr="00D96D0C">
        <w:rPr>
          <w:rFonts w:ascii="Georgia" w:hAnsi="Georgia" w:cs="Times New Roman"/>
          <w:bCs/>
          <w:noProof/>
          <w:sz w:val="23"/>
          <w:szCs w:val="23"/>
          <w:lang w:val="id-ID"/>
        </w:rPr>
        <w:t>(Agustina &amp; Murwani R, 2013)</w:t>
      </w:r>
      <w:r>
        <w:rPr>
          <w:rFonts w:ascii="Georgia" w:hAnsi="Georgia" w:cs="Times New Roman"/>
          <w:bCs/>
          <w:sz w:val="23"/>
          <w:szCs w:val="23"/>
          <w:lang w:val="id-ID"/>
        </w:rPr>
        <w:fldChar w:fldCharType="end"/>
      </w:r>
      <w:r>
        <w:rPr>
          <w:rFonts w:ascii="Georgia" w:hAnsi="Georgia" w:cs="Times New Roman"/>
          <w:bCs/>
          <w:sz w:val="23"/>
          <w:szCs w:val="23"/>
          <w:lang w:val="id-ID"/>
        </w:rPr>
        <w:t xml:space="preserve">. </w:t>
      </w:r>
      <w:r w:rsidRPr="00D96D0C">
        <w:rPr>
          <w:rFonts w:ascii="Georgia" w:hAnsi="Georgia" w:cs="Times New Roman"/>
          <w:bCs/>
          <w:sz w:val="23"/>
          <w:szCs w:val="23"/>
          <w:lang w:val="id-ID"/>
        </w:rPr>
        <w:t>The administration of VCO has been shown to suppress IL-6 as a pro-inflammatory cytokine that can cause inflammatory inization or inflammation, which is caused by oxidative stress conditions due to the administration of a diet high in cholesterol. The content of VCO in the form of lauric acid plays an important role in the process. The acid that enters the body will be converted into monolaurin. The monolaurine can modulate the proliferation of immune cells, which are able to suppress inflammatory processes in the body.56 Research conducted by Nasution invitro on Raw 264.7 cells using VCO with a concentration of 62.5 micrograms /mL showed results that VCO was able to inhibit IL-6, and other cytokines. Final conclusion VCO effectively has anti-inflammatory activation</w:t>
      </w:r>
      <w:r>
        <w:rPr>
          <w:rFonts w:ascii="Georgia" w:hAnsi="Georgia" w:cs="Times New Roman"/>
          <w:bCs/>
          <w:sz w:val="23"/>
          <w:szCs w:val="23"/>
          <w:lang w:val="id-ID"/>
        </w:rPr>
        <w:fldChar w:fldCharType="begin" w:fldLock="1"/>
      </w:r>
      <w:r>
        <w:rPr>
          <w:rFonts w:ascii="Georgia" w:hAnsi="Georgia" w:cs="Times New Roman"/>
          <w:bCs/>
          <w:sz w:val="23"/>
          <w:szCs w:val="23"/>
          <w:lang w:val="id-ID"/>
        </w:rPr>
        <w:instrText>ADDIN CSL_CITATION {"citationItems":[{"id":"ITEM-1","itemData":{"DOI":"10.3390/nu2080889","ISSN":"20726643","PMID":"22254061","abstract":"Oxidative stress results from an imbalance between excessive formation of reactive oxygen species (ROS) and/or reactive nitrogen species and limited antioxidant defences. Endothelium and nitric oxide (NO) are key regulators of vascular health. NO bioavailability is modulated by ROS that degrade NO, uncouple NO synthase, and inhibit synthesis. Cardiovascular risk conditions contribute to oxidative stress, causing an imbalance between NO and ROS, with a relative decrease in NO bioavailability. Dietary flavonoids represent a range of polyphenolic compounds naturally occurring in plant foods. Flavonoids are potentially involved in cardiovascular prevention mainly by decreasing oxidative stress and increasing NO bioavailability. © 2010 by the authors; licensee MDPI, Basel, Switzerland.","author":[{"dropping-particle":"","family":"Grassi","given":"Davide","non-dropping-particle":"","parse-names":false,"suffix":""},{"dropping-particle":"","family":"Desideri","given":"Giovambattista","non-dropping-particle":"","parse-names":false,"suffix":""},{"dropping-particle":"","family":"Ferri","given":"Claudio","non-dropping-particle":"","parse-names":false,"suffix":""}],"container-title":"Nutrients","id":"ITEM-1","issue":"8","issued":{"date-parts":[["2010"]]},"page":"890-902","title":"Flavonoids: Antioxidants against atherosclerosis","type":"article-journal","volume":"2"},"uris":["http://www.mendeley.com/documents/?uuid=57109ce4-a516-4047-a44a-f772df00e87c"]}],"mendeley":{"formattedCitation":"(Grassi et al., 2010)","plainTextFormattedCitation":"(Grassi et al., 2010)"},"properties":{"noteIndex":0},"schema":"https://github.com/citation-style-language/schema/raw/master/csl-citation.json"}</w:instrText>
      </w:r>
      <w:r>
        <w:rPr>
          <w:rFonts w:ascii="Georgia" w:hAnsi="Georgia" w:cs="Times New Roman"/>
          <w:bCs/>
          <w:sz w:val="23"/>
          <w:szCs w:val="23"/>
          <w:lang w:val="id-ID"/>
        </w:rPr>
        <w:fldChar w:fldCharType="separate"/>
      </w:r>
      <w:r w:rsidRPr="00D96D0C">
        <w:rPr>
          <w:rFonts w:ascii="Georgia" w:hAnsi="Georgia" w:cs="Times New Roman"/>
          <w:bCs/>
          <w:noProof/>
          <w:sz w:val="23"/>
          <w:szCs w:val="23"/>
          <w:lang w:val="id-ID"/>
        </w:rPr>
        <w:t>(Grassi et al., 2010)</w:t>
      </w:r>
      <w:r>
        <w:rPr>
          <w:rFonts w:ascii="Georgia" w:hAnsi="Georgia" w:cs="Times New Roman"/>
          <w:bCs/>
          <w:sz w:val="23"/>
          <w:szCs w:val="23"/>
          <w:lang w:val="id-ID"/>
        </w:rPr>
        <w:fldChar w:fldCharType="end"/>
      </w:r>
      <w:r>
        <w:rPr>
          <w:rFonts w:ascii="Georgia" w:hAnsi="Georgia" w:cs="Times New Roman"/>
          <w:bCs/>
          <w:sz w:val="23"/>
          <w:szCs w:val="23"/>
          <w:lang w:val="id-ID"/>
        </w:rPr>
        <w:t>.</w:t>
      </w:r>
    </w:p>
    <w:p w14:paraId="6B03F4C5" w14:textId="77777777" w:rsidR="00006A10" w:rsidRPr="0025266C" w:rsidRDefault="00006A10" w:rsidP="00FE6F5A">
      <w:pPr>
        <w:spacing w:after="0" w:line="240" w:lineRule="auto"/>
        <w:jc w:val="both"/>
        <w:rPr>
          <w:rFonts w:ascii="Georgia" w:hAnsi="Georgia" w:cs="Times New Roman"/>
          <w:b/>
          <w:sz w:val="23"/>
          <w:szCs w:val="23"/>
        </w:rPr>
      </w:pPr>
      <w:r w:rsidRPr="0025266C">
        <w:rPr>
          <w:rFonts w:ascii="Georgia" w:hAnsi="Georgia" w:cs="Times New Roman"/>
          <w:b/>
          <w:sz w:val="23"/>
          <w:szCs w:val="23"/>
        </w:rPr>
        <w:t>5. Conclusion:</w:t>
      </w:r>
    </w:p>
    <w:p w14:paraId="3E1948A0" w14:textId="7CBBF346" w:rsidR="00006A10" w:rsidRDefault="00006A10" w:rsidP="00FE6F5A">
      <w:pPr>
        <w:spacing w:after="0" w:line="240" w:lineRule="auto"/>
        <w:jc w:val="both"/>
        <w:rPr>
          <w:rFonts w:ascii="Georgia" w:hAnsi="Georgia" w:cs="Times New Roman"/>
          <w:bCs/>
          <w:sz w:val="23"/>
          <w:szCs w:val="23"/>
          <w:lang w:val="id-ID"/>
        </w:rPr>
      </w:pPr>
      <w:r w:rsidRPr="00006A10">
        <w:rPr>
          <w:rFonts w:ascii="Georgia" w:hAnsi="Georgia" w:cs="Times New Roman"/>
          <w:bCs/>
          <w:sz w:val="23"/>
          <w:szCs w:val="23"/>
          <w:lang w:val="id-ID"/>
        </w:rPr>
        <w:t xml:space="preserve">Based on the results of research and discussion on the effect of VCO administration on HDL, LDL, and IL-6 cholesterol levels for 21 days, it can be concluded that: Giving VCO at a dose of 0.9 mL / 200 g BB / day 0.45 mL / 200 grBB / day can increase blood HDL cholesterol levels in male wistar rats with hypercholesterol VCO administration at a dose of 0.9 mL / 200 g BB / day 0.45 mL / 200 grBB / day can reduce blood LDL cholesterol levels in male wistar rats with </w:t>
      </w:r>
      <w:r w:rsidRPr="00006A10">
        <w:rPr>
          <w:rFonts w:ascii="Georgia" w:hAnsi="Georgia" w:cs="Times New Roman"/>
          <w:bCs/>
          <w:sz w:val="23"/>
          <w:szCs w:val="23"/>
          <w:lang w:val="id-ID"/>
        </w:rPr>
        <w:lastRenderedPageBreak/>
        <w:t>hypercholesterol Administration of VCO at a dose of 0.9 mL / 200 g BB / day 0.45 mL / 200 grBB / day may increase blood IL-6 cholesterol levels in male wistar rats with hypercholesterol</w:t>
      </w:r>
      <w:r>
        <w:rPr>
          <w:rFonts w:ascii="Georgia" w:hAnsi="Georgia" w:cs="Times New Roman"/>
          <w:bCs/>
          <w:sz w:val="23"/>
          <w:szCs w:val="23"/>
          <w:lang w:val="id-ID"/>
        </w:rPr>
        <w:t>.</w:t>
      </w:r>
    </w:p>
    <w:p w14:paraId="5170BEDD" w14:textId="6D56F6A1" w:rsidR="00006A10" w:rsidRDefault="00006A10" w:rsidP="00FE6F5A">
      <w:pPr>
        <w:spacing w:after="0" w:line="240" w:lineRule="auto"/>
        <w:jc w:val="both"/>
        <w:rPr>
          <w:rFonts w:ascii="Georgia" w:hAnsi="Georgia" w:cs="Times New Roman"/>
          <w:bCs/>
          <w:sz w:val="23"/>
          <w:szCs w:val="23"/>
          <w:lang w:val="id-ID"/>
        </w:rPr>
      </w:pPr>
    </w:p>
    <w:p w14:paraId="74D5B556" w14:textId="77777777" w:rsidR="00006A10" w:rsidRPr="0025266C" w:rsidRDefault="00006A10" w:rsidP="00FE6F5A">
      <w:pPr>
        <w:pStyle w:val="p"/>
        <w:shd w:val="clear" w:color="auto" w:fill="FFFFFF"/>
        <w:spacing w:before="0" w:beforeAutospacing="0" w:after="0" w:afterAutospacing="0"/>
        <w:jc w:val="both"/>
        <w:rPr>
          <w:rFonts w:ascii="Georgia" w:hAnsi="Georgia"/>
          <w:b/>
          <w:sz w:val="23"/>
          <w:szCs w:val="23"/>
        </w:rPr>
      </w:pPr>
      <w:r w:rsidRPr="0025266C">
        <w:rPr>
          <w:rFonts w:ascii="Georgia" w:hAnsi="Georgia"/>
          <w:b/>
          <w:sz w:val="23"/>
          <w:szCs w:val="23"/>
        </w:rPr>
        <w:t>6. Compliance with Ethical Standards:</w:t>
      </w:r>
    </w:p>
    <w:p w14:paraId="459A92E9" w14:textId="77777777" w:rsidR="00006A10" w:rsidRPr="0025266C" w:rsidRDefault="00006A10" w:rsidP="00FE6F5A">
      <w:pPr>
        <w:pStyle w:val="p"/>
        <w:shd w:val="clear" w:color="auto" w:fill="FFFFFF"/>
        <w:spacing w:before="0" w:beforeAutospacing="0" w:after="0" w:afterAutospacing="0"/>
        <w:jc w:val="both"/>
        <w:rPr>
          <w:rFonts w:ascii="Georgia" w:hAnsi="Georgia"/>
          <w:sz w:val="23"/>
          <w:szCs w:val="23"/>
        </w:rPr>
      </w:pPr>
      <w:r w:rsidRPr="0025266C">
        <w:rPr>
          <w:rFonts w:ascii="Georgia" w:hAnsi="Georgia"/>
          <w:sz w:val="23"/>
          <w:szCs w:val="23"/>
        </w:rPr>
        <w:t>This work is approved by institutional ethical committee.</w:t>
      </w:r>
    </w:p>
    <w:p w14:paraId="23C564A2" w14:textId="6D1B5D66" w:rsidR="00006A10" w:rsidRPr="0025266C" w:rsidRDefault="00006A10" w:rsidP="00FE6F5A">
      <w:pPr>
        <w:pStyle w:val="p"/>
        <w:shd w:val="clear" w:color="auto" w:fill="FFFFFF"/>
        <w:spacing w:before="0" w:beforeAutospacing="0" w:after="0" w:afterAutospacing="0"/>
        <w:jc w:val="both"/>
        <w:rPr>
          <w:rFonts w:ascii="Georgia" w:hAnsi="Georgia"/>
          <w:b/>
          <w:sz w:val="23"/>
          <w:szCs w:val="23"/>
        </w:rPr>
      </w:pPr>
      <w:r>
        <w:rPr>
          <w:rFonts w:ascii="Georgia" w:hAnsi="Georgia"/>
          <w:b/>
          <w:sz w:val="23"/>
          <w:szCs w:val="23"/>
          <w:lang w:val="id-ID"/>
        </w:rPr>
        <w:t>7</w:t>
      </w:r>
      <w:r w:rsidRPr="0025266C">
        <w:rPr>
          <w:rFonts w:ascii="Georgia" w:hAnsi="Georgia"/>
          <w:b/>
          <w:sz w:val="23"/>
          <w:szCs w:val="23"/>
        </w:rPr>
        <w:t>. Conflict of interest:</w:t>
      </w:r>
    </w:p>
    <w:p w14:paraId="66B27297" w14:textId="3525560D" w:rsidR="00006A10" w:rsidRPr="00683056" w:rsidRDefault="00683056" w:rsidP="00FE6F5A">
      <w:pPr>
        <w:spacing w:after="0" w:line="240" w:lineRule="auto"/>
        <w:jc w:val="both"/>
        <w:rPr>
          <w:rFonts w:ascii="Georgia" w:hAnsi="Georgia" w:cs="Times New Roman"/>
          <w:sz w:val="23"/>
          <w:szCs w:val="23"/>
          <w:lang w:val="id-ID"/>
        </w:rPr>
      </w:pPr>
      <w:r>
        <w:rPr>
          <w:rFonts w:ascii="Georgia" w:hAnsi="Georgia" w:cs="Times New Roman"/>
          <w:sz w:val="23"/>
          <w:szCs w:val="23"/>
          <w:lang w:val="id-ID"/>
        </w:rPr>
        <w:t xml:space="preserve">There is no conflict of Interest in this study. </w:t>
      </w:r>
    </w:p>
    <w:p w14:paraId="66E2FF97" w14:textId="67136E69" w:rsidR="00006A10" w:rsidRPr="0025266C" w:rsidRDefault="00006A10" w:rsidP="00FE6F5A">
      <w:pPr>
        <w:pStyle w:val="p"/>
        <w:shd w:val="clear" w:color="auto" w:fill="FFFFFF"/>
        <w:spacing w:before="0" w:beforeAutospacing="0" w:after="0" w:afterAutospacing="0"/>
        <w:jc w:val="both"/>
        <w:rPr>
          <w:rFonts w:ascii="Georgia" w:hAnsi="Georgia"/>
          <w:b/>
          <w:sz w:val="23"/>
          <w:szCs w:val="23"/>
        </w:rPr>
      </w:pPr>
      <w:r w:rsidRPr="0025266C">
        <w:rPr>
          <w:rFonts w:ascii="Georgia" w:hAnsi="Georgia"/>
          <w:sz w:val="23"/>
          <w:szCs w:val="23"/>
        </w:rPr>
        <w:t xml:space="preserve"> </w:t>
      </w:r>
      <w:r>
        <w:rPr>
          <w:rFonts w:ascii="Georgia" w:hAnsi="Georgia"/>
          <w:b/>
          <w:sz w:val="23"/>
          <w:szCs w:val="23"/>
          <w:lang w:val="id-ID"/>
        </w:rPr>
        <w:t>8</w:t>
      </w:r>
      <w:r w:rsidRPr="0025266C">
        <w:rPr>
          <w:rFonts w:ascii="Georgia" w:hAnsi="Georgia"/>
          <w:b/>
          <w:sz w:val="23"/>
          <w:szCs w:val="23"/>
        </w:rPr>
        <w:t xml:space="preserve">. Acknowledgement: </w:t>
      </w:r>
    </w:p>
    <w:p w14:paraId="2D7443E9" w14:textId="630F6C62" w:rsidR="00006A10" w:rsidRDefault="00683056" w:rsidP="00FE6F5A">
      <w:pPr>
        <w:spacing w:after="0" w:line="240" w:lineRule="auto"/>
        <w:jc w:val="both"/>
        <w:rPr>
          <w:rFonts w:ascii="Georgia" w:hAnsi="Georgia" w:cs="Times New Roman"/>
          <w:sz w:val="23"/>
          <w:szCs w:val="23"/>
          <w:lang w:val="id-ID"/>
        </w:rPr>
      </w:pPr>
      <w:bookmarkStart w:id="0" w:name="_Hlk97635273"/>
      <w:r>
        <w:rPr>
          <w:rFonts w:ascii="Georgia" w:hAnsi="Georgia" w:cs="Times New Roman"/>
          <w:sz w:val="23"/>
          <w:szCs w:val="23"/>
          <w:lang w:val="id-ID"/>
        </w:rPr>
        <w:t>We are very grateful the database providers PubMed, Google Scholar and Science Direct.</w:t>
      </w:r>
    </w:p>
    <w:p w14:paraId="61BDD3FA" w14:textId="77777777" w:rsidR="00812A96" w:rsidRPr="00683056" w:rsidRDefault="00812A96" w:rsidP="00FE6F5A">
      <w:pPr>
        <w:spacing w:after="0" w:line="240" w:lineRule="auto"/>
        <w:jc w:val="both"/>
        <w:rPr>
          <w:rFonts w:ascii="Georgia" w:hAnsi="Georgia" w:cs="Times New Roman"/>
          <w:sz w:val="23"/>
          <w:szCs w:val="23"/>
          <w:lang w:val="id-ID"/>
        </w:rPr>
      </w:pPr>
    </w:p>
    <w:bookmarkEnd w:id="0"/>
    <w:p w14:paraId="1C363325" w14:textId="1EC768E2" w:rsidR="000F1C93" w:rsidRPr="00812A96" w:rsidRDefault="00006A10" w:rsidP="00812A96">
      <w:pPr>
        <w:spacing w:after="0" w:line="240" w:lineRule="auto"/>
        <w:jc w:val="both"/>
        <w:rPr>
          <w:rFonts w:ascii="Georgia" w:hAnsi="Georgia" w:cs="Times New Roman"/>
          <w:b/>
          <w:sz w:val="23"/>
          <w:szCs w:val="23"/>
        </w:rPr>
      </w:pPr>
      <w:r>
        <w:rPr>
          <w:rFonts w:ascii="Georgia" w:hAnsi="Georgia" w:cs="Times New Roman"/>
          <w:b/>
          <w:sz w:val="23"/>
          <w:szCs w:val="23"/>
          <w:lang w:val="id-ID"/>
        </w:rPr>
        <w:t>9</w:t>
      </w:r>
      <w:r w:rsidRPr="0025266C">
        <w:rPr>
          <w:rFonts w:ascii="Georgia" w:hAnsi="Georgia" w:cs="Times New Roman"/>
          <w:b/>
          <w:sz w:val="23"/>
          <w:szCs w:val="23"/>
        </w:rPr>
        <w:t xml:space="preserve">. References: </w:t>
      </w:r>
    </w:p>
    <w:p w14:paraId="05BC8DD5" w14:textId="6A45EEFF" w:rsidR="00D96D0C" w:rsidRPr="00D96D0C" w:rsidRDefault="001116CB" w:rsidP="00FE6F5A">
      <w:pPr>
        <w:widowControl w:val="0"/>
        <w:autoSpaceDE w:val="0"/>
        <w:autoSpaceDN w:val="0"/>
        <w:adjustRightInd w:val="0"/>
        <w:spacing w:after="0" w:line="240" w:lineRule="auto"/>
        <w:ind w:left="480" w:hanging="480"/>
        <w:rPr>
          <w:rFonts w:ascii="Georgia" w:hAnsi="Georgia" w:cs="Times New Roman"/>
          <w:noProof/>
          <w:sz w:val="24"/>
          <w:szCs w:val="24"/>
        </w:rPr>
      </w:pPr>
      <w:r>
        <w:rPr>
          <w:rFonts w:ascii="Georgia" w:hAnsi="Georgia"/>
          <w:sz w:val="23"/>
          <w:szCs w:val="23"/>
          <w:lang w:val="id-ID"/>
        </w:rPr>
        <w:fldChar w:fldCharType="begin" w:fldLock="1"/>
      </w:r>
      <w:r>
        <w:rPr>
          <w:rFonts w:ascii="Georgia" w:hAnsi="Georgia"/>
          <w:sz w:val="23"/>
          <w:szCs w:val="23"/>
          <w:lang w:val="id-ID"/>
        </w:rPr>
        <w:instrText xml:space="preserve">ADDIN Mendeley Bibliography CSL_BIBLIOGRAPHY </w:instrText>
      </w:r>
      <w:r>
        <w:rPr>
          <w:rFonts w:ascii="Georgia" w:hAnsi="Georgia"/>
          <w:sz w:val="23"/>
          <w:szCs w:val="23"/>
          <w:lang w:val="id-ID"/>
        </w:rPr>
        <w:fldChar w:fldCharType="separate"/>
      </w:r>
      <w:r w:rsidR="00D96D0C" w:rsidRPr="00D96D0C">
        <w:rPr>
          <w:rFonts w:ascii="Georgia" w:hAnsi="Georgia" w:cs="Times New Roman"/>
          <w:noProof/>
          <w:sz w:val="24"/>
          <w:szCs w:val="24"/>
        </w:rPr>
        <w:t xml:space="preserve">Agustina, D., &amp; Murwani R, H. (2013). Pengaruh Pemberian Jus Biji Pepaya (Carica Papaya L.) Terhadap Rasio Kolesterol Ldl:Hdl Tikus Sprague Dawley Dislipidemia. </w:t>
      </w:r>
      <w:r w:rsidR="00D96D0C" w:rsidRPr="00D96D0C">
        <w:rPr>
          <w:rFonts w:ascii="Georgia" w:hAnsi="Georgia" w:cs="Times New Roman"/>
          <w:i/>
          <w:iCs/>
          <w:noProof/>
          <w:sz w:val="24"/>
          <w:szCs w:val="24"/>
        </w:rPr>
        <w:t>Journal of Nutrition College</w:t>
      </w:r>
      <w:r w:rsidR="00D96D0C" w:rsidRPr="00D96D0C">
        <w:rPr>
          <w:rFonts w:ascii="Georgia" w:hAnsi="Georgia" w:cs="Times New Roman"/>
          <w:noProof/>
          <w:sz w:val="24"/>
          <w:szCs w:val="24"/>
        </w:rPr>
        <w:t xml:space="preserve">, </w:t>
      </w:r>
      <w:r w:rsidR="00D96D0C" w:rsidRPr="00D96D0C">
        <w:rPr>
          <w:rFonts w:ascii="Georgia" w:hAnsi="Georgia" w:cs="Times New Roman"/>
          <w:i/>
          <w:iCs/>
          <w:noProof/>
          <w:sz w:val="24"/>
          <w:szCs w:val="24"/>
        </w:rPr>
        <w:t>2</w:t>
      </w:r>
      <w:r w:rsidR="00D96D0C" w:rsidRPr="00D96D0C">
        <w:rPr>
          <w:rFonts w:ascii="Georgia" w:hAnsi="Georgia" w:cs="Times New Roman"/>
          <w:noProof/>
          <w:sz w:val="24"/>
          <w:szCs w:val="24"/>
        </w:rPr>
        <w:t>(3), 302–311. https://doi.org/10.14710/jnc.v2i3.3431</w:t>
      </w:r>
    </w:p>
    <w:p w14:paraId="2D99E6C4" w14:textId="77777777" w:rsidR="00D96D0C" w:rsidRPr="00D96D0C" w:rsidRDefault="00D96D0C" w:rsidP="00FE6F5A">
      <w:pPr>
        <w:widowControl w:val="0"/>
        <w:autoSpaceDE w:val="0"/>
        <w:autoSpaceDN w:val="0"/>
        <w:adjustRightInd w:val="0"/>
        <w:spacing w:after="0" w:line="240" w:lineRule="auto"/>
        <w:ind w:left="480" w:hanging="480"/>
        <w:rPr>
          <w:rFonts w:ascii="Georgia" w:hAnsi="Georgia" w:cs="Times New Roman"/>
          <w:noProof/>
          <w:sz w:val="24"/>
          <w:szCs w:val="24"/>
        </w:rPr>
      </w:pPr>
      <w:r w:rsidRPr="00D96D0C">
        <w:rPr>
          <w:rFonts w:ascii="Georgia" w:hAnsi="Georgia" w:cs="Times New Roman"/>
          <w:noProof/>
          <w:sz w:val="24"/>
          <w:szCs w:val="24"/>
        </w:rPr>
        <w:t xml:space="preserve">Arunima, S., &amp; Rajamohan, T. (2014). Influence of virgin coconut oil-enriched diet on the transcriptional regulation of fatty acid synthesis and oxidation in rats-a comparative study. </w:t>
      </w:r>
      <w:r w:rsidRPr="00D96D0C">
        <w:rPr>
          <w:rFonts w:ascii="Georgia" w:hAnsi="Georgia" w:cs="Times New Roman"/>
          <w:i/>
          <w:iCs/>
          <w:noProof/>
          <w:sz w:val="24"/>
          <w:szCs w:val="24"/>
        </w:rPr>
        <w:t>British Journal of Nutrition</w:t>
      </w:r>
      <w:r w:rsidRPr="00D96D0C">
        <w:rPr>
          <w:rFonts w:ascii="Georgia" w:hAnsi="Georgia" w:cs="Times New Roman"/>
          <w:noProof/>
          <w:sz w:val="24"/>
          <w:szCs w:val="24"/>
        </w:rPr>
        <w:t xml:space="preserve">, </w:t>
      </w:r>
      <w:r w:rsidRPr="00D96D0C">
        <w:rPr>
          <w:rFonts w:ascii="Georgia" w:hAnsi="Georgia" w:cs="Times New Roman"/>
          <w:i/>
          <w:iCs/>
          <w:noProof/>
          <w:sz w:val="24"/>
          <w:szCs w:val="24"/>
        </w:rPr>
        <w:t>111</w:t>
      </w:r>
      <w:r w:rsidRPr="00D96D0C">
        <w:rPr>
          <w:rFonts w:ascii="Georgia" w:hAnsi="Georgia" w:cs="Times New Roman"/>
          <w:noProof/>
          <w:sz w:val="24"/>
          <w:szCs w:val="24"/>
        </w:rPr>
        <w:t>(10), 1782–1790. https://doi.org/10.1017/S000711451400004X</w:t>
      </w:r>
    </w:p>
    <w:p w14:paraId="0436C480" w14:textId="77777777" w:rsidR="00D96D0C" w:rsidRPr="00D96D0C" w:rsidRDefault="00D96D0C" w:rsidP="00FE6F5A">
      <w:pPr>
        <w:widowControl w:val="0"/>
        <w:autoSpaceDE w:val="0"/>
        <w:autoSpaceDN w:val="0"/>
        <w:adjustRightInd w:val="0"/>
        <w:spacing w:after="0" w:line="240" w:lineRule="auto"/>
        <w:ind w:left="480" w:hanging="480"/>
        <w:rPr>
          <w:rFonts w:ascii="Georgia" w:hAnsi="Georgia" w:cs="Times New Roman"/>
          <w:noProof/>
          <w:sz w:val="24"/>
          <w:szCs w:val="24"/>
        </w:rPr>
      </w:pPr>
      <w:r w:rsidRPr="00D96D0C">
        <w:rPr>
          <w:rFonts w:ascii="Georgia" w:hAnsi="Georgia" w:cs="Times New Roman"/>
          <w:noProof/>
          <w:sz w:val="24"/>
          <w:szCs w:val="24"/>
        </w:rPr>
        <w:t xml:space="preserve">Dosumu, O., Duru, F., Osinubi, A., Oremosu, A., &amp; Noronha, C. (2010). Influence of virgin coconut oil (VCNO) on oxidative stress, serum testosterone and gonadotropic hormones (FSH, LH) in chronic ethanol ingestion. </w:t>
      </w:r>
      <w:r w:rsidRPr="00D96D0C">
        <w:rPr>
          <w:rFonts w:ascii="Georgia" w:hAnsi="Georgia" w:cs="Times New Roman"/>
          <w:i/>
          <w:iCs/>
          <w:noProof/>
          <w:sz w:val="24"/>
          <w:szCs w:val="24"/>
        </w:rPr>
        <w:t>Agriculture and Biology Journal of North America</w:t>
      </w:r>
      <w:r w:rsidRPr="00D96D0C">
        <w:rPr>
          <w:rFonts w:ascii="Georgia" w:hAnsi="Georgia" w:cs="Times New Roman"/>
          <w:noProof/>
          <w:sz w:val="24"/>
          <w:szCs w:val="24"/>
        </w:rPr>
        <w:t xml:space="preserve">, </w:t>
      </w:r>
      <w:r w:rsidRPr="00D96D0C">
        <w:rPr>
          <w:rFonts w:ascii="Georgia" w:hAnsi="Georgia" w:cs="Times New Roman"/>
          <w:i/>
          <w:iCs/>
          <w:noProof/>
          <w:sz w:val="24"/>
          <w:szCs w:val="24"/>
        </w:rPr>
        <w:t>1</w:t>
      </w:r>
      <w:r w:rsidRPr="00D96D0C">
        <w:rPr>
          <w:rFonts w:ascii="Georgia" w:hAnsi="Georgia" w:cs="Times New Roman"/>
          <w:noProof/>
          <w:sz w:val="24"/>
          <w:szCs w:val="24"/>
        </w:rPr>
        <w:t>(6), 1126–1132. https://doi.org/10.5251/abjna.2010.1.6.1126.1132</w:t>
      </w:r>
    </w:p>
    <w:p w14:paraId="441D0711" w14:textId="77777777" w:rsidR="00D96D0C" w:rsidRPr="00D96D0C" w:rsidRDefault="00D96D0C" w:rsidP="00FE6F5A">
      <w:pPr>
        <w:widowControl w:val="0"/>
        <w:autoSpaceDE w:val="0"/>
        <w:autoSpaceDN w:val="0"/>
        <w:adjustRightInd w:val="0"/>
        <w:spacing w:after="0" w:line="240" w:lineRule="auto"/>
        <w:ind w:left="480" w:hanging="480"/>
        <w:rPr>
          <w:rFonts w:ascii="Georgia" w:hAnsi="Georgia" w:cs="Times New Roman"/>
          <w:noProof/>
          <w:sz w:val="24"/>
          <w:szCs w:val="24"/>
        </w:rPr>
      </w:pPr>
      <w:r w:rsidRPr="00D96D0C">
        <w:rPr>
          <w:rFonts w:ascii="Georgia" w:hAnsi="Georgia" w:cs="Times New Roman"/>
          <w:noProof/>
          <w:sz w:val="24"/>
          <w:szCs w:val="24"/>
        </w:rPr>
        <w:t xml:space="preserve">Grassi, D., Desideri, G., &amp; Ferri, C. (2010). Flavonoids: Antioxidants against atherosclerosis. </w:t>
      </w:r>
      <w:r w:rsidRPr="00D96D0C">
        <w:rPr>
          <w:rFonts w:ascii="Georgia" w:hAnsi="Georgia" w:cs="Times New Roman"/>
          <w:i/>
          <w:iCs/>
          <w:noProof/>
          <w:sz w:val="24"/>
          <w:szCs w:val="24"/>
        </w:rPr>
        <w:t>Nutrients</w:t>
      </w:r>
      <w:r w:rsidRPr="00D96D0C">
        <w:rPr>
          <w:rFonts w:ascii="Georgia" w:hAnsi="Georgia" w:cs="Times New Roman"/>
          <w:noProof/>
          <w:sz w:val="24"/>
          <w:szCs w:val="24"/>
        </w:rPr>
        <w:t xml:space="preserve">, </w:t>
      </w:r>
      <w:r w:rsidRPr="00D96D0C">
        <w:rPr>
          <w:rFonts w:ascii="Georgia" w:hAnsi="Georgia" w:cs="Times New Roman"/>
          <w:i/>
          <w:iCs/>
          <w:noProof/>
          <w:sz w:val="24"/>
          <w:szCs w:val="24"/>
        </w:rPr>
        <w:t>2</w:t>
      </w:r>
      <w:r w:rsidRPr="00D96D0C">
        <w:rPr>
          <w:rFonts w:ascii="Georgia" w:hAnsi="Georgia" w:cs="Times New Roman"/>
          <w:noProof/>
          <w:sz w:val="24"/>
          <w:szCs w:val="24"/>
        </w:rPr>
        <w:t>(8), 890–902. https://doi.org/10.3390/nu2080889</w:t>
      </w:r>
    </w:p>
    <w:p w14:paraId="28A4E33B" w14:textId="77777777" w:rsidR="00D96D0C" w:rsidRPr="00D96D0C" w:rsidRDefault="00D96D0C" w:rsidP="00FE6F5A">
      <w:pPr>
        <w:widowControl w:val="0"/>
        <w:autoSpaceDE w:val="0"/>
        <w:autoSpaceDN w:val="0"/>
        <w:adjustRightInd w:val="0"/>
        <w:spacing w:after="0" w:line="240" w:lineRule="auto"/>
        <w:ind w:left="480" w:hanging="480"/>
        <w:rPr>
          <w:rFonts w:ascii="Georgia" w:hAnsi="Georgia" w:cs="Times New Roman"/>
          <w:noProof/>
          <w:sz w:val="24"/>
          <w:szCs w:val="24"/>
        </w:rPr>
      </w:pPr>
      <w:r w:rsidRPr="00D96D0C">
        <w:rPr>
          <w:rFonts w:ascii="Georgia" w:hAnsi="Georgia" w:cs="Times New Roman"/>
          <w:noProof/>
          <w:sz w:val="24"/>
          <w:szCs w:val="24"/>
        </w:rPr>
        <w:t xml:space="preserve">Ogedengbe, O. O., Jegede, A. I., Onanuga, I. O., Offor, U., Naidu, E. C. S., Peter, A. I., &amp; Azu, O. O. (2016). Coconut oil extract mitigates testicular injury following adjuvant treatment with antiretroviral drugs. </w:t>
      </w:r>
      <w:r w:rsidRPr="00D96D0C">
        <w:rPr>
          <w:rFonts w:ascii="Georgia" w:hAnsi="Georgia" w:cs="Times New Roman"/>
          <w:i/>
          <w:iCs/>
          <w:noProof/>
          <w:sz w:val="24"/>
          <w:szCs w:val="24"/>
        </w:rPr>
        <w:t>Toxicological Research</w:t>
      </w:r>
      <w:r w:rsidRPr="00D96D0C">
        <w:rPr>
          <w:rFonts w:ascii="Georgia" w:hAnsi="Georgia" w:cs="Times New Roman"/>
          <w:noProof/>
          <w:sz w:val="24"/>
          <w:szCs w:val="24"/>
        </w:rPr>
        <w:t xml:space="preserve">, </w:t>
      </w:r>
      <w:r w:rsidRPr="00D96D0C">
        <w:rPr>
          <w:rFonts w:ascii="Georgia" w:hAnsi="Georgia" w:cs="Times New Roman"/>
          <w:i/>
          <w:iCs/>
          <w:noProof/>
          <w:sz w:val="24"/>
          <w:szCs w:val="24"/>
        </w:rPr>
        <w:t>32</w:t>
      </w:r>
      <w:r w:rsidRPr="00D96D0C">
        <w:rPr>
          <w:rFonts w:ascii="Georgia" w:hAnsi="Georgia" w:cs="Times New Roman"/>
          <w:noProof/>
          <w:sz w:val="24"/>
          <w:szCs w:val="24"/>
        </w:rPr>
        <w:t>(4), 317–325. https://doi.org/10.5487/TR.2016.32.4.317</w:t>
      </w:r>
    </w:p>
    <w:p w14:paraId="58AE0FEB" w14:textId="77777777" w:rsidR="00D96D0C" w:rsidRPr="00D96D0C" w:rsidRDefault="00D96D0C" w:rsidP="00FE6F5A">
      <w:pPr>
        <w:widowControl w:val="0"/>
        <w:autoSpaceDE w:val="0"/>
        <w:autoSpaceDN w:val="0"/>
        <w:adjustRightInd w:val="0"/>
        <w:spacing w:after="0" w:line="240" w:lineRule="auto"/>
        <w:ind w:left="480" w:hanging="480"/>
        <w:rPr>
          <w:rFonts w:ascii="Georgia" w:hAnsi="Georgia" w:cs="Times New Roman"/>
          <w:noProof/>
          <w:sz w:val="24"/>
          <w:szCs w:val="24"/>
        </w:rPr>
      </w:pPr>
      <w:r w:rsidRPr="00D96D0C">
        <w:rPr>
          <w:rFonts w:ascii="Georgia" w:hAnsi="Georgia" w:cs="Times New Roman"/>
          <w:noProof/>
          <w:sz w:val="24"/>
          <w:szCs w:val="24"/>
        </w:rPr>
        <w:t xml:space="preserve">Romadhoni, F. (2014). Pharmacodinamic Study of Ethanol Extract of Celery Root (Appium graveolens) to Lipid Profil And APO A1 Of White Rat Strain Wistar (Rattus novergicus Strain Wistar) Dyslipedemia. </w:t>
      </w:r>
      <w:r w:rsidRPr="00D96D0C">
        <w:rPr>
          <w:rFonts w:ascii="Georgia" w:hAnsi="Georgia" w:cs="Times New Roman"/>
          <w:i/>
          <w:iCs/>
          <w:noProof/>
          <w:sz w:val="24"/>
          <w:szCs w:val="24"/>
        </w:rPr>
        <w:t>Tesis</w:t>
      </w:r>
      <w:r w:rsidRPr="00D96D0C">
        <w:rPr>
          <w:rFonts w:ascii="Georgia" w:hAnsi="Georgia" w:cs="Times New Roman"/>
          <w:noProof/>
          <w:sz w:val="24"/>
          <w:szCs w:val="24"/>
        </w:rPr>
        <w:t>, 1.</w:t>
      </w:r>
    </w:p>
    <w:p w14:paraId="28A5A122" w14:textId="77777777" w:rsidR="00D96D0C" w:rsidRPr="00D96D0C" w:rsidRDefault="00D96D0C" w:rsidP="00FE6F5A">
      <w:pPr>
        <w:widowControl w:val="0"/>
        <w:autoSpaceDE w:val="0"/>
        <w:autoSpaceDN w:val="0"/>
        <w:adjustRightInd w:val="0"/>
        <w:spacing w:after="0" w:line="240" w:lineRule="auto"/>
        <w:ind w:left="480" w:hanging="480"/>
        <w:rPr>
          <w:rFonts w:ascii="Georgia" w:hAnsi="Georgia"/>
          <w:noProof/>
          <w:sz w:val="24"/>
        </w:rPr>
      </w:pPr>
      <w:r w:rsidRPr="00D96D0C">
        <w:rPr>
          <w:rFonts w:ascii="Georgia" w:hAnsi="Georgia" w:cs="Times New Roman"/>
          <w:noProof/>
          <w:sz w:val="24"/>
          <w:szCs w:val="24"/>
        </w:rPr>
        <w:t xml:space="preserve">Susantiningsih, T., &amp; Mustofa, S. (2018). Ekspresi IL-6 dan TNF- α Pada Obesitas. </w:t>
      </w:r>
      <w:r w:rsidRPr="00D96D0C">
        <w:rPr>
          <w:rFonts w:ascii="Georgia" w:hAnsi="Georgia" w:cs="Times New Roman"/>
          <w:i/>
          <w:iCs/>
          <w:noProof/>
          <w:sz w:val="24"/>
          <w:szCs w:val="24"/>
        </w:rPr>
        <w:t>JK Unila</w:t>
      </w:r>
      <w:r w:rsidRPr="00D96D0C">
        <w:rPr>
          <w:rFonts w:ascii="Georgia" w:hAnsi="Georgia" w:cs="Times New Roman"/>
          <w:noProof/>
          <w:sz w:val="24"/>
          <w:szCs w:val="24"/>
        </w:rPr>
        <w:t xml:space="preserve">, </w:t>
      </w:r>
      <w:r w:rsidRPr="00D96D0C">
        <w:rPr>
          <w:rFonts w:ascii="Georgia" w:hAnsi="Georgia" w:cs="Times New Roman"/>
          <w:i/>
          <w:iCs/>
          <w:noProof/>
          <w:sz w:val="24"/>
          <w:szCs w:val="24"/>
        </w:rPr>
        <w:t>2</w:t>
      </w:r>
      <w:r w:rsidRPr="00D96D0C">
        <w:rPr>
          <w:rFonts w:ascii="Georgia" w:hAnsi="Georgia" w:cs="Times New Roman"/>
          <w:noProof/>
          <w:sz w:val="24"/>
          <w:szCs w:val="24"/>
        </w:rPr>
        <w:t>(2), 174–180.</w:t>
      </w:r>
    </w:p>
    <w:p w14:paraId="55296BFD" w14:textId="63A110AD" w:rsidR="001116CB" w:rsidRPr="00467B84" w:rsidRDefault="001116CB" w:rsidP="00FE6F5A">
      <w:pPr>
        <w:spacing w:after="0" w:line="240" w:lineRule="auto"/>
        <w:rPr>
          <w:rFonts w:ascii="Georgia" w:hAnsi="Georgia"/>
          <w:sz w:val="23"/>
          <w:szCs w:val="23"/>
          <w:lang w:val="id-ID"/>
        </w:rPr>
      </w:pPr>
      <w:r>
        <w:rPr>
          <w:rFonts w:ascii="Georgia" w:hAnsi="Georgia"/>
          <w:sz w:val="23"/>
          <w:szCs w:val="23"/>
          <w:lang w:val="id-ID"/>
        </w:rPr>
        <w:fldChar w:fldCharType="end"/>
      </w:r>
    </w:p>
    <w:sectPr w:rsidR="001116CB" w:rsidRPr="00467B84" w:rsidSect="000F1C93">
      <w:pgSz w:w="11906" w:h="16838"/>
      <w:pgMar w:top="1871" w:right="1134" w:bottom="141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C93"/>
    <w:rsid w:val="00006A10"/>
    <w:rsid w:val="00076A70"/>
    <w:rsid w:val="000F1C93"/>
    <w:rsid w:val="001116CB"/>
    <w:rsid w:val="00194A7A"/>
    <w:rsid w:val="001B2D64"/>
    <w:rsid w:val="00251602"/>
    <w:rsid w:val="002B7D8B"/>
    <w:rsid w:val="00332324"/>
    <w:rsid w:val="003D3F6F"/>
    <w:rsid w:val="00416186"/>
    <w:rsid w:val="00467B84"/>
    <w:rsid w:val="006118C0"/>
    <w:rsid w:val="00683056"/>
    <w:rsid w:val="007634DA"/>
    <w:rsid w:val="00812A96"/>
    <w:rsid w:val="00834272"/>
    <w:rsid w:val="00AD1752"/>
    <w:rsid w:val="00AF314C"/>
    <w:rsid w:val="00B473CF"/>
    <w:rsid w:val="00CA584F"/>
    <w:rsid w:val="00D312B9"/>
    <w:rsid w:val="00D84C34"/>
    <w:rsid w:val="00D96D0C"/>
    <w:rsid w:val="00F01E54"/>
    <w:rsid w:val="00F02169"/>
    <w:rsid w:val="00F534FA"/>
    <w:rsid w:val="00F6740F"/>
    <w:rsid w:val="00FE6F5A"/>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400F51"/>
  <w15:chartTrackingRefBased/>
  <w15:docId w15:val="{7BBA545E-49AB-4C53-A9B1-2088E59BB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1C93"/>
    <w:rPr>
      <w:lang w:val="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1">
    <w:name w:val="A1"/>
    <w:uiPriority w:val="99"/>
    <w:rsid w:val="000F1C93"/>
    <w:rPr>
      <w:color w:val="000000"/>
      <w:sz w:val="18"/>
      <w:szCs w:val="18"/>
    </w:rPr>
  </w:style>
  <w:style w:type="paragraph" w:styleId="NoSpacing">
    <w:name w:val="No Spacing"/>
    <w:link w:val="NoSpacingChar"/>
    <w:uiPriority w:val="1"/>
    <w:qFormat/>
    <w:rsid w:val="00D312B9"/>
    <w:pPr>
      <w:spacing w:after="0" w:line="240" w:lineRule="auto"/>
    </w:pPr>
    <w:rPr>
      <w:rFonts w:ascii="Times New Roman" w:eastAsia="Calibri" w:hAnsi="Times New Roman" w:cs="Times New Roman"/>
      <w:sz w:val="24"/>
      <w:szCs w:val="24"/>
      <w:lang w:val="en-GB"/>
    </w:rPr>
  </w:style>
  <w:style w:type="character" w:customStyle="1" w:styleId="NoSpacingChar">
    <w:name w:val="No Spacing Char"/>
    <w:link w:val="NoSpacing"/>
    <w:uiPriority w:val="1"/>
    <w:locked/>
    <w:rsid w:val="00D312B9"/>
    <w:rPr>
      <w:rFonts w:ascii="Times New Roman" w:eastAsia="Calibri" w:hAnsi="Times New Roman" w:cs="Times New Roman"/>
      <w:sz w:val="24"/>
      <w:szCs w:val="24"/>
      <w:lang w:val="en-GB"/>
    </w:rPr>
  </w:style>
  <w:style w:type="paragraph" w:customStyle="1" w:styleId="p">
    <w:name w:val="p"/>
    <w:basedOn w:val="Normal"/>
    <w:rsid w:val="00006A10"/>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Hyperlink">
    <w:name w:val="Hyperlink"/>
    <w:basedOn w:val="DefaultParagraphFont"/>
    <w:uiPriority w:val="99"/>
    <w:unhideWhenUsed/>
    <w:rsid w:val="00194A7A"/>
    <w:rPr>
      <w:color w:val="0563C1" w:themeColor="hyperlink"/>
      <w:u w:val="single"/>
    </w:rPr>
  </w:style>
  <w:style w:type="character" w:styleId="UnresolvedMention">
    <w:name w:val="Unresolved Mention"/>
    <w:basedOn w:val="DefaultParagraphFont"/>
    <w:uiPriority w:val="99"/>
    <w:semiHidden/>
    <w:unhideWhenUsed/>
    <w:rsid w:val="00194A7A"/>
    <w:rPr>
      <w:color w:val="605E5C"/>
      <w:shd w:val="clear" w:color="auto" w:fill="E1DFDD"/>
    </w:rPr>
  </w:style>
  <w:style w:type="paragraph" w:customStyle="1" w:styleId="TableParagraph">
    <w:name w:val="Table Paragraph"/>
    <w:basedOn w:val="Normal"/>
    <w:uiPriority w:val="1"/>
    <w:qFormat/>
    <w:rsid w:val="00194A7A"/>
    <w:pPr>
      <w:widowControl w:val="0"/>
      <w:autoSpaceDE w:val="0"/>
      <w:autoSpaceDN w:val="0"/>
      <w:spacing w:after="0" w:line="240" w:lineRule="auto"/>
      <w:jc w:val="right"/>
    </w:pPr>
    <w:rPr>
      <w:rFonts w:ascii="Times New Roman" w:eastAsia="Times New Roman" w:hAnsi="Times New Roman" w:cs="Times New Roman"/>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maulidia.dr@gmail.com" TargetMode="External"/><Relationship Id="rId4" Type="http://schemas.openxmlformats.org/officeDocument/2006/relationships/webSettings" Target="webSettings.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079F41AB-6F19-444C-9864-E616CB12F3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5</Pages>
  <Words>5292</Words>
  <Characters>30170</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Lathifa</dc:creator>
  <cp:keywords/>
  <dc:description/>
  <cp:lastModifiedBy>Microsoft Office User</cp:lastModifiedBy>
  <cp:revision>15</cp:revision>
  <dcterms:created xsi:type="dcterms:W3CDTF">2022-11-02T03:26:00Z</dcterms:created>
  <dcterms:modified xsi:type="dcterms:W3CDTF">2022-11-02T03:53:00Z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http://www.zotero.org/styles/harvard1</vt:lpwstr>
  </property>
  <property fmtid="{D5CDD505-2E9C-101B-9397-08002B2CF9AE}" pid="15" name="Mendeley Recent Style Name 6_1">
    <vt:lpwstr>Harvard reference format 1 (deprecated)</vt:lpwstr>
  </property>
  <property fmtid="{D5CDD505-2E9C-101B-9397-08002B2CF9AE}" pid="16" name="Mendeley Recent Style Id 7_1">
    <vt:lpwstr>http://www.zotero.org/styles/ieee</vt:lpwstr>
  </property>
  <property fmtid="{D5CDD505-2E9C-101B-9397-08002B2CF9AE}" pid="17" name="Mendeley Recent Style Name 7_1">
    <vt:lpwstr>IEEE</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http://www.zotero.org/styles/modern-language-association</vt:lpwstr>
  </property>
  <property fmtid="{D5CDD505-2E9C-101B-9397-08002B2CF9AE}" pid="21" name="Mendeley Recent Style Name 9_1">
    <vt:lpwstr>Modern Language Association 8th edition</vt:lpwstr>
  </property>
  <property fmtid="{D5CDD505-2E9C-101B-9397-08002B2CF9AE}" pid="22" name="Mendeley Citation Style_1">
    <vt:lpwstr>http://www.zotero.org/styles/apa</vt:lpwstr>
  </property>
  <property fmtid="{D5CDD505-2E9C-101B-9397-08002B2CF9AE}" pid="23" name="Mendeley Document_1">
    <vt:lpwstr>True</vt:lpwstr>
  </property>
  <property fmtid="{D5CDD505-2E9C-101B-9397-08002B2CF9AE}" pid="24" name="Mendeley Unique User Id_1">
    <vt:lpwstr>57b1774d-91f1-332c-b49d-8addc390b9dd</vt:lpwstr>
  </property>
</Properties>
</file>